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left="0" w:firstLine="0"/>
        <w:jc w:val="left"/>
        <w:rPr>
          <w:rFonts w:eastAsia="Times New Roman" w:cs="Times New Roman"/>
          <w:b w:val="0"/>
          <w:bCs w:val="0"/>
          <w:color w:val="000000"/>
          <w:sz w:val="20"/>
          <w:szCs w:val="20"/>
        </w:rPr>
      </w:pP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</w:p>
    <w:p>
      <w:pPr>
        <w:pStyle w:val="690"/>
        <w:ind w:left="0" w:firstLine="0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0"/>
        <w:ind w:left="0" w:firstLine="0"/>
        <w:jc w:val="right"/>
        <w:rPr>
          <w:rFonts w:eastAsia="Times New Roman" w:cs="Times New Roman"/>
          <w:b w:val="0"/>
          <w:bCs w:val="0"/>
          <w:color w:val="000000"/>
          <w:sz w:val="20"/>
          <w:szCs w:val="20"/>
        </w:rPr>
      </w:pP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</w:p>
    <w:p>
      <w:pPr>
        <w:pStyle w:val="690"/>
        <w:ind w:left="0" w:firstLine="0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Приказом от 30.09.2025 № 46/2-А</w:t>
      </w:r>
      <w:r>
        <w:rPr>
          <w:sz w:val="26"/>
          <w:szCs w:val="26"/>
        </w:rPr>
      </w:r>
    </w:p>
    <w:p>
      <w:pPr>
        <w:pStyle w:val="690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0"/>
        <w:ind w:left="0" w:firstLine="0"/>
        <w:jc w:val="right"/>
        <w:rPr>
          <w:rFonts w:eastAsia="Times New Roman" w:cs="Times New Roman"/>
          <w:b w:val="0"/>
          <w:bCs w:val="0"/>
          <w:color w:val="000000"/>
          <w:sz w:val="20"/>
          <w:szCs w:val="20"/>
        </w:rPr>
      </w:pP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</w:p>
    <w:p>
      <w:pPr>
        <w:pStyle w:val="690"/>
        <w:ind w:left="0" w:firstLine="0"/>
        <w:jc w:val="right"/>
        <w:rPr>
          <w:rFonts w:eastAsia="Times New Roman" w:cs="Times New Roman"/>
          <w:b w:val="0"/>
          <w:bCs w:val="0"/>
          <w:color w:val="000000"/>
          <w:sz w:val="20"/>
          <w:szCs w:val="20"/>
        </w:rPr>
      </w:pP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  <w:r>
        <w:rPr>
          <w:rFonts w:eastAsia="Times New Roman" w:cs="Times New Roman"/>
          <w:b w:val="0"/>
          <w:bCs w:val="0"/>
          <w:color w:val="000000"/>
          <w:sz w:val="20"/>
          <w:szCs w:val="20"/>
        </w:rPr>
      </w:r>
    </w:p>
    <w:p>
      <w:pPr>
        <w:pStyle w:val="690"/>
        <w:ind w:right="-1" w:firstLine="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ПОЛОЖЕНИЕ</w:t>
      </w:r>
      <w:r>
        <w:rPr>
          <w:b/>
          <w:sz w:val="26"/>
          <w:szCs w:val="26"/>
          <w:highlight w:val="white"/>
        </w:rPr>
      </w:r>
      <w:r>
        <w:rPr>
          <w:b/>
          <w:sz w:val="26"/>
          <w:szCs w:val="26"/>
          <w:highlight w:val="white"/>
        </w:rPr>
      </w:r>
    </w:p>
    <w:p>
      <w:pPr>
        <w:pStyle w:val="690"/>
        <w:ind w:right="-1" w:firstLine="0"/>
        <w:jc w:val="center"/>
        <w:rPr>
          <w:color w:val="00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о научно-исследовательской работе </w:t>
      </w:r>
      <w:r>
        <w:rPr>
          <w:color w:val="000000"/>
          <w:sz w:val="26"/>
          <w:szCs w:val="26"/>
          <w:highlight w:val="white"/>
        </w:rPr>
      </w:r>
      <w:r>
        <w:rPr>
          <w:color w:val="000000"/>
          <w:sz w:val="26"/>
          <w:szCs w:val="26"/>
          <w:highlight w:val="white"/>
        </w:rPr>
      </w:r>
    </w:p>
    <w:p>
      <w:pPr>
        <w:pStyle w:val="690"/>
        <w:ind w:right="-1" w:firstLine="0"/>
        <w:jc w:val="center"/>
        <w:rPr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аспирантов «Российского института истории искусств»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0"/>
        <w:ind w:left="0" w:firstLine="0"/>
        <w:jc w:val="center"/>
        <w:rPr>
          <w:sz w:val="26"/>
          <w:szCs w:val="26"/>
          <w:highlight w:val="white"/>
        </w:rPr>
      </w:pPr>
      <w:r>
        <w:rPr>
          <w:bCs/>
          <w:sz w:val="26"/>
          <w:szCs w:val="26"/>
          <w:highlight w:val="white"/>
        </w:rPr>
        <w:t xml:space="preserve"> </w:t>
      </w:r>
      <w:r>
        <w:rPr>
          <w:bCs/>
          <w:sz w:val="26"/>
          <w:szCs w:val="26"/>
          <w:highlight w:val="white"/>
        </w:rPr>
        <w:t xml:space="preserve">                                 </w:t>
      </w:r>
      <w:r>
        <w:rPr>
          <w:rFonts w:eastAsia="Times New Roman" w:cs="Times New Roman"/>
          <w:b w:val="0"/>
          <w:bCs/>
          <w:color w:val="000000"/>
          <w:sz w:val="26"/>
          <w:szCs w:val="26"/>
          <w:highlight w:val="white"/>
        </w:rPr>
        <w:t xml:space="preserve">             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818"/>
        <w:numPr>
          <w:ilvl w:val="0"/>
          <w:numId w:val="3"/>
        </w:numPr>
        <w:ind w:left="0" w:right="850" w:hanging="720"/>
        <w:jc w:val="center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</w:r>
    </w:p>
    <w:p>
      <w:pPr>
        <w:pStyle w:val="818"/>
        <w:ind w:left="0" w:right="850" w:firstLine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690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</w:rPr>
        <w:t xml:space="preserve">Настоящее Положение устанавливает порядок проведения аспирантами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«Российского института истории искусств»</w:t>
      </w:r>
      <w:r>
        <w:rPr>
          <w:rFonts w:eastAsia="Times New Roman" w:cs="Times New Roman"/>
          <w:sz w:val="26"/>
          <w:szCs w:val="26"/>
          <w:highlight w:val="white"/>
        </w:rPr>
        <w:t xml:space="preserve"> (далее – РИИИ)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научно-исследовательской работы.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850" w:firstLine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Настоящее Положение разработано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: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Федеральным законом № 273 от 29.12.2012 «Об образовании в Российской Федерации»;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«Положением о подготовке научных и научно-педагогических кадров в аспирантуре (адъюнктуре)», утвержденном постановлением Правительства Российской Федерации от 30.11.2021 № 2122;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Лицензией, выданной Федеральной службы по надзору в сфере образования и науки №0846 от 09 сентября 2013 года, бланк серия 00Л01 №0000919;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Федеральным законом от 23 августа 1996 г. № 127-ФЗ «О науке и государственной научно-технической политике»;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Постановлением Правительства РФ от 24 сентября 2013 г. N 842</w:t>
        <w:br/>
        <w:t xml:space="preserve">«О порядке присуждения ученых степеней»;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2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Требованиями к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разработке и реализации программ аспирантуры Российского института истории искусств;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690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>
        <w:rPr>
          <w:rFonts w:eastAsia="Times New Roman" w:cs="Times New Roman"/>
          <w:bCs/>
          <w:sz w:val="26"/>
          <w:szCs w:val="26"/>
          <w:highlight w:val="white"/>
        </w:rPr>
        <w:t xml:space="preserve">Уставом РИИИ и другими локальными нормативными документами.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Научно-исследовательская работа аспирантов является одним из основных компонентов программы аспирантуры и направлена на подготовку к защите диссертации на соискание ученой степени кандидата наук (далее-диссертация) к защите.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firstLine="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Результаты научно-исследовательской работы должны оформляться в виде опубликованных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научных статей и диссертации, составляющих научный компонент программы аспирантуры РИИИ.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ind w:left="567" w:right="-1" w:firstLine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3"/>
        </w:numPr>
        <w:ind w:left="0" w:right="-1" w:hanging="720"/>
        <w:jc w:val="center"/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Цели и задачи </w:t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</w:p>
    <w:p>
      <w:pPr>
        <w:pStyle w:val="818"/>
        <w:ind w:left="0" w:right="-1" w:firstLine="0"/>
        <w:jc w:val="center"/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научно-исследовательской работы аспирантов</w:t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</w:p>
    <w:p>
      <w:pPr>
        <w:pStyle w:val="818"/>
        <w:ind w:left="0" w:right="-1" w:firstLine="0"/>
        <w:jc w:val="center"/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Целями научно-исследовательской работы являются: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0"/>
          <w:numId w:val="5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формирование и усиление творческих способностей аспирантов;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0"/>
          <w:numId w:val="5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развитие и совершенствование форм привлечения молодежи к научной деятельности;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0"/>
          <w:numId w:val="5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обеспечение единства учебного, научного, воспитательного процессов для повышения профессионального уровня подготовки аспирантов;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0"/>
          <w:numId w:val="5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подготовка диссертации, соответствующей требованиям Федерального закона от 23 августа 1996 г. № 127-ФЗ «О науке и государственной научно-технической политике».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Задачами научно-исследовательской работы являются: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Обучение методологии, методике и технике рационального и эффективного поиска, анализа и использования знаний;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Совершенствование и поиск новых форм интеграции системы высшего образования с наукой в рамках единой системы учебно-воспитательного процесса;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Развитие навыков научно-поисковой творческой и исследовательской деятельности;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Привлечение аспирантов к участию в научных исследованиях, практических разработках;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Освоение современных научных методологий, приобретение навыков работы с научной литературой;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Получение новых научных результатов по теме диссертационной работы;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4"/>
        </w:numPr>
        <w:ind w:left="1287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Формирование кадрового научно-педагогического потенциала РИИИ.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ind w:left="0" w:right="-1" w:firstLine="0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numPr>
          <w:ilvl w:val="0"/>
          <w:numId w:val="3"/>
        </w:numPr>
        <w:ind w:left="1287" w:right="-1" w:hanging="720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Организация научно-исследовательской работы.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</w:r>
    </w:p>
    <w:p>
      <w:pPr>
        <w:pStyle w:val="818"/>
        <w:ind w:left="0" w:right="-1" w:firstLine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В соответствии с федеральными государственными требованиями (ФГТ) программа аспирантуры должна включать научный компонент, в который входят: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6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Научная деятельность аспиранта, направленная на подготовку диссертации на соискание ученой степени кандидата наук к защите;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0"/>
          <w:numId w:val="6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рственную регистрацию результатов интеллектуальной деятельности, предусмотренных абзацами первым и третьим пункта 12(1) Положения о присуждении ученых степеней, утвержденного постановлением Правительства Российской Федерации от 24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сентября 2012 г. № 842. 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Подготовка к защите диссертации на соискание ученой степени кандидата наук включает: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7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Написание текста диссертации;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7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Написание автореферата;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7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Оформление текста диссертации и автореферата в соответствии с ГОСТ Р 7.0.11-2011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Диссертация и автореферат диссертации. Структура и правила оформления»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7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Публикация / принятие к печати статей,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в которых излагаются основные научные результаты диссертации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</w:rPr>
        <w:t xml:space="preserve">(не менее 3 в журналах, рекомендованных ВАК)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7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Представление текста диссертации на профильный сектор РИИИ не менее чем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 месяц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 Итоговой аттестации (а частей диссертационного исследования – при каждой промежуточной аттестации).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spacing w:before="0" w:after="0"/>
        <w:rPr>
          <w:sz w:val="26"/>
          <w:szCs w:val="26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Выполненная научно-исследовательская работа должна соответствовать:</w:t>
      </w:r>
      <w:r>
        <w:rPr>
          <w:sz w:val="26"/>
          <w:szCs w:val="26"/>
          <w:highlight w:val="white"/>
          <w:shd w:val="clear" w:color="auto" w:fill="ffff00"/>
        </w:rPr>
      </w:r>
      <w:r>
        <w:rPr>
          <w:sz w:val="26"/>
          <w:szCs w:val="26"/>
          <w:highlight w:val="white"/>
          <w:shd w:val="clear" w:color="auto" w:fill="ffff00"/>
        </w:rPr>
      </w:r>
    </w:p>
    <w:p>
      <w:pPr>
        <w:pStyle w:val="818"/>
        <w:numPr>
          <w:ilvl w:val="0"/>
          <w:numId w:val="13"/>
        </w:numPr>
        <w:ind w:left="709" w:right="-1" w:hanging="360"/>
        <w:jc w:val="both"/>
        <w:spacing w:before="0" w:after="0"/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критериям, установленным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00"/>
        </w:rPr>
        <w:t xml:space="preserve">Постановлением Правительства РФ от 24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ffffff" w:themeColor="background1" w:fill="ffffff" w:themeFill="background1"/>
        </w:rPr>
        <w:t xml:space="preserve"> сентября 2013 г. N 842 «О порядке присуждения ученых степеней»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ffffff" w:themeColor="background1" w:fill="ffffff" w:themeFill="background1"/>
        </w:rPr>
        <w:t xml:space="preserve">для научно-квалификационной работы (диссертации) на соискание ученой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степени кандидата наук;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</w:r>
    </w:p>
    <w:p>
      <w:pPr>
        <w:pStyle w:val="818"/>
        <w:numPr>
          <w:ilvl w:val="0"/>
          <w:numId w:val="13"/>
        </w:numPr>
        <w:ind w:left="709" w:right="-1" w:hanging="360"/>
        <w:jc w:val="both"/>
        <w:spacing w:before="0" w:after="0"/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критериям, установленным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Федеральным законом от 23 августа 1996 г. №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127-ФЗ «О науке и государственной научно-технической политике»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;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13"/>
        </w:numPr>
        <w:ind w:left="709" w:right="-1" w:hanging="360"/>
        <w:jc w:val="both"/>
        <w:spacing w:before="0" w:after="0"/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действующему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законодательству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РФ.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План научно-исследовательской работы включается в индивидуальный план работы аспиранта.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spacing w:before="0" w:after="0"/>
        <w:rPr>
          <w:rFonts w:ascii="Times New Roman" w:hAnsi="Times New Roman" w:eastAsia="Times New Roman" w:cs="Times New Roman"/>
          <w:strike w:val="0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Оценка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ыполнения индивидуального плана научно-исследовательской деятельности осуществляется два раза в год в соответствии с Положением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Положение о порядке осуществления текущего контроля за подготовкой научных и научно-педагогических кадров и промежуточной аттестации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, а именно: за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 семестр каждого учебного года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– на профильных секторах, за учебный год – на заседании Учебно-методического совета </w:t>
      </w:r>
      <w:r>
        <w:rPr>
          <w:rFonts w:ascii="Times New Roman" w:hAnsi="Times New Roman" w:eastAsia="Times New Roman" w:cs="Times New Roman"/>
          <w:strike w:val="0"/>
          <w:color w:val="22272f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22272f"/>
          <w:sz w:val="26"/>
          <w:szCs w:val="26"/>
          <w:highlight w:val="white"/>
        </w:rPr>
      </w:r>
    </w:p>
    <w:p>
      <w:pPr>
        <w:pStyle w:val="818"/>
        <w:ind w:left="0" w:right="-1" w:firstLine="0"/>
        <w:jc w:val="both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3"/>
        </w:numPr>
        <w:ind w:left="1287" w:right="-1" w:hanging="720"/>
        <w:jc w:val="center"/>
        <w:rPr>
          <w:rFonts w:ascii="Times New Roman" w:hAnsi="Times New Roman" w:cs="Times New Roman"/>
          <w:b/>
          <w:bCs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6"/>
          <w:szCs w:val="26"/>
          <w:highlight w:val="white"/>
        </w:rPr>
        <w:t xml:space="preserve">Ответственность должностных лиц при организации научно-исследовательской работы аспирантов.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highlight w:val="white"/>
        </w:rPr>
      </w:r>
    </w:p>
    <w:p>
      <w:pPr>
        <w:pStyle w:val="818"/>
        <w:ind w:left="0" w:right="-1" w:firstLine="0"/>
        <w:jc w:val="both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1"/>
          <w:numId w:val="3"/>
        </w:numPr>
        <w:ind w:left="0" w:right="-1" w:hanging="12"/>
        <w:jc w:val="both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Ответственность за организацию и проведение контроля осуществления научно-исследовательской работы аспирантами несут: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8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Научный руководитель аспиранта – в части руководства научно-исследовательской работой;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8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Заведующие профильных секторов – в части оценки научно-исследовательской работы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,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в том числе на соответствие действующем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ffffff" w:themeColor="background1" w:fill="ffffff" w:themeFill="background1"/>
        </w:rPr>
        <w:t xml:space="preserve">у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законодательству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  <w:shd w:val="clear" w:color="auto" w:fill="ffff00"/>
        </w:rPr>
        <w:t xml:space="preserve">;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818"/>
        <w:numPr>
          <w:ilvl w:val="0"/>
          <w:numId w:val="8"/>
        </w:numPr>
        <w:ind w:left="720" w:right="-1" w:hanging="360"/>
        <w:jc w:val="both"/>
        <w:spacing w:before="0" w:after="0"/>
        <w:rPr>
          <w:rFonts w:ascii="Times New Roman" w:hAnsi="Times New Roman" w:cs="Times New Roman"/>
          <w:color w:val="22272f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Заведующий аспирантурой – в части контроля результатов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white"/>
        </w:rPr>
        <w:t xml:space="preserve">научно-исследовательской работы.</w:t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22272f"/>
          <w:sz w:val="26"/>
          <w:szCs w:val="26"/>
          <w:highlight w:val="white"/>
        </w:rPr>
      </w:r>
    </w:p>
    <w:p>
      <w:pPr>
        <w:pStyle w:val="690"/>
        <w:ind w:left="0" w:firstLine="0"/>
        <w:jc w:val="center"/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</w:rPr>
      </w:r>
    </w:p>
    <w:p>
      <w:pPr>
        <w:pStyle w:val="690"/>
        <w:ind w:left="0" w:firstLine="0"/>
        <w:jc w:val="left"/>
        <w:rPr>
          <w:rFonts w:ascii="Scada;sans-serif" w:hAnsi="Scada;sans-serif"/>
          <w:b w:val="0"/>
          <w:color w:val="00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rFonts w:ascii="Scada;sans-serif" w:hAnsi="Scada;sans-serif"/>
          <w:b w:val="0"/>
          <w:color w:val="000000"/>
          <w:sz w:val="26"/>
          <w:szCs w:val="26"/>
          <w:highlight w:val="white"/>
        </w:rPr>
      </w:r>
      <w:r>
        <w:rPr>
          <w:rFonts w:ascii="Scada;sans-serif" w:hAnsi="Scada;sans-serif"/>
          <w:b w:val="0"/>
          <w:color w:val="000000"/>
          <w:sz w:val="26"/>
          <w:szCs w:val="26"/>
          <w:highlight w:val="white"/>
        </w:rPr>
      </w:r>
    </w:p>
    <w:p>
      <w:pPr>
        <w:pStyle w:val="690"/>
        <w:ind w:left="0" w:firstLine="0"/>
        <w:jc w:val="left"/>
        <w:rPr>
          <w:rFonts w:ascii="Scada;sans-serif" w:hAnsi="Scada;sans-serif"/>
          <w:b w:val="0"/>
          <w:color w:val="000000"/>
          <w:sz w:val="36"/>
        </w:rPr>
      </w:pPr>
      <w:r>
        <w:rPr>
          <w:rFonts w:ascii="Scada;sans-serif" w:hAnsi="Scada;sans-serif"/>
          <w:b w:val="0"/>
          <w:color w:val="000000"/>
          <w:sz w:val="36"/>
        </w:rPr>
      </w:r>
      <w:r>
        <w:rPr>
          <w:rFonts w:ascii="Scada;sans-serif" w:hAnsi="Scada;sans-serif"/>
          <w:b w:val="0"/>
          <w:color w:val="000000"/>
          <w:sz w:val="36"/>
        </w:rPr>
      </w:r>
      <w:r>
        <w:rPr>
          <w:rFonts w:ascii="Scada;sans-serif" w:hAnsi="Scada;sans-serif"/>
          <w:b w:val="0"/>
          <w:color w:val="000000"/>
          <w:sz w:val="36"/>
        </w:rPr>
      </w:r>
    </w:p>
    <w:p>
      <w:pPr>
        <w:pStyle w:val="692"/>
        <w:ind w:left="0" w:firstLine="0"/>
        <w:jc w:val="left"/>
        <w:rPr>
          <w:rFonts w:ascii="Scada;sans-serif" w:hAnsi="Scada;sans-serif"/>
          <w:b w:val="0"/>
          <w:color w:val="000000"/>
          <w:sz w:val="36"/>
        </w:rPr>
      </w:pPr>
      <w:r>
        <w:rPr>
          <w:rFonts w:ascii="Scada;sans-serif" w:hAnsi="Scada;sans-serif"/>
          <w:b w:val="0"/>
          <w:color w:val="000000"/>
          <w:sz w:val="36"/>
        </w:rPr>
      </w:r>
      <w:r>
        <w:rPr>
          <w:rFonts w:ascii="Scada;sans-serif" w:hAnsi="Scada;sans-serif"/>
          <w:b w:val="0"/>
          <w:color w:val="000000"/>
          <w:sz w:val="36"/>
        </w:rPr>
      </w:r>
      <w:r>
        <w:rPr>
          <w:rFonts w:ascii="Scada;sans-serif" w:hAnsi="Scada;sans-serif"/>
          <w:b w:val="0"/>
          <w:color w:val="000000"/>
          <w:sz w:val="36"/>
        </w:rPr>
      </w:r>
    </w:p>
    <w:p>
      <w:pPr>
        <w:pStyle w:val="690"/>
        <w:ind w:left="0" w:firstLine="0"/>
        <w:jc w:val="left"/>
      </w:pPr>
      <w:r>
        <w:br/>
      </w:r>
      <w:r/>
    </w:p>
    <w:p>
      <w:pPr>
        <w:pStyle w:val="690"/>
        <w:ind w:left="0" w:firstLine="0"/>
        <w:jc w:val="lef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NSimSun">
    <w:panose1 w:val="02010609030101010101"/>
  </w:font>
  <w:font w:name="Scada;sans-serif">
    <w:panose1 w:val="05000600020000020004"/>
  </w:font>
  <w:font w:name="Liberation Sans">
    <w:panose1 w:val="020B0604020202020204"/>
  </w:font>
  <w:font w:name="Wingdings">
    <w:panose1 w:val="05000000000000000000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115" w:hanging="72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sz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115" w:hanging="72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sz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yperlink"/>
    <w:uiPriority w:val="99"/>
    <w:unhideWhenUsed/>
    <w:rPr>
      <w:color w:val="0000ff" w:themeColor="hyperlink"/>
      <w:u w:val="single"/>
    </w:rPr>
  </w:style>
  <w:style w:type="character" w:styleId="688">
    <w:name w:val="footnote reference"/>
    <w:basedOn w:val="724"/>
    <w:uiPriority w:val="99"/>
    <w:unhideWhenUsed/>
    <w:rPr>
      <w:vertAlign w:val="superscript"/>
    </w:rPr>
  </w:style>
  <w:style w:type="character" w:styleId="689">
    <w:name w:val="endnote reference"/>
    <w:basedOn w:val="724"/>
    <w:uiPriority w:val="99"/>
    <w:semiHidden/>
    <w:unhideWhenUsed/>
    <w:rPr>
      <w:vertAlign w:val="superscript"/>
    </w:rPr>
  </w:style>
  <w:style w:type="paragraph" w:styleId="690" w:default="1" w:customStyle="1">
    <w:name w:val="Normal"/>
    <w:basedOn w:val="795"/>
    <w:qFormat/>
  </w:style>
  <w:style w:type="paragraph" w:styleId="691" w:customStyle="1">
    <w:name w:val="Heading 1"/>
    <w:basedOn w:val="690"/>
    <w:qFormat/>
    <w:pPr>
      <w:spacing w:before="480" w:after="200"/>
    </w:pPr>
    <w:rPr>
      <w:rFonts w:ascii="Arial" w:hAnsi="Arial" w:cs="Arial"/>
      <w:sz w:val="40"/>
    </w:rPr>
  </w:style>
  <w:style w:type="paragraph" w:styleId="692" w:customStyle="1">
    <w:name w:val="Heading 2"/>
    <w:basedOn w:val="690"/>
    <w:qFormat/>
    <w:pPr>
      <w:spacing w:before="360" w:after="200"/>
    </w:pPr>
    <w:rPr>
      <w:rFonts w:ascii="Arial" w:hAnsi="Arial" w:cs="Arial"/>
      <w:sz w:val="34"/>
    </w:rPr>
  </w:style>
  <w:style w:type="paragraph" w:styleId="693" w:customStyle="1">
    <w:name w:val="Heading 3"/>
    <w:basedOn w:val="690"/>
    <w:qFormat/>
    <w:pPr>
      <w:spacing w:before="320" w:after="200"/>
    </w:pPr>
    <w:rPr>
      <w:rFonts w:ascii="Arial" w:hAnsi="Arial" w:cs="Arial"/>
      <w:sz w:val="30"/>
    </w:rPr>
  </w:style>
  <w:style w:type="paragraph" w:styleId="694" w:customStyle="1">
    <w:name w:val="Heading 4"/>
    <w:basedOn w:val="690"/>
    <w:qFormat/>
    <w:pPr>
      <w:spacing w:before="320" w:after="200"/>
    </w:pPr>
    <w:rPr>
      <w:rFonts w:ascii="Arial" w:hAnsi="Arial" w:cs="Arial"/>
      <w:b/>
      <w:sz w:val="26"/>
    </w:rPr>
  </w:style>
  <w:style w:type="paragraph" w:styleId="695" w:customStyle="1">
    <w:name w:val="Heading 5"/>
    <w:basedOn w:val="690"/>
    <w:qFormat/>
    <w:pPr>
      <w:spacing w:before="320" w:after="200"/>
    </w:pPr>
    <w:rPr>
      <w:rFonts w:ascii="Arial" w:hAnsi="Arial" w:cs="Arial"/>
      <w:b/>
      <w:sz w:val="24"/>
    </w:rPr>
  </w:style>
  <w:style w:type="paragraph" w:styleId="696" w:customStyle="1">
    <w:name w:val="Heading 6"/>
    <w:basedOn w:val="690"/>
    <w:qFormat/>
    <w:pPr>
      <w:spacing w:before="320" w:after="200"/>
    </w:pPr>
    <w:rPr>
      <w:rFonts w:ascii="Arial" w:hAnsi="Arial" w:cs="Arial"/>
      <w:b/>
      <w:sz w:val="22"/>
    </w:rPr>
  </w:style>
  <w:style w:type="paragraph" w:styleId="697" w:customStyle="1">
    <w:name w:val="Heading 7"/>
    <w:basedOn w:val="690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698" w:customStyle="1">
    <w:name w:val="Heading 8"/>
    <w:basedOn w:val="690"/>
    <w:qFormat/>
    <w:pPr>
      <w:spacing w:before="320" w:after="200"/>
    </w:pPr>
    <w:rPr>
      <w:rFonts w:ascii="Arial" w:hAnsi="Arial" w:cs="Arial"/>
      <w:i/>
      <w:sz w:val="22"/>
    </w:rPr>
  </w:style>
  <w:style w:type="paragraph" w:styleId="699" w:customStyle="1">
    <w:name w:val="Heading 9"/>
    <w:basedOn w:val="690"/>
    <w:qFormat/>
    <w:pPr>
      <w:spacing w:before="320" w:after="200"/>
    </w:pPr>
    <w:rPr>
      <w:rFonts w:ascii="Arial" w:hAnsi="Arial" w:cs="Arial"/>
      <w:i/>
      <w:sz w:val="21"/>
    </w:rPr>
  </w:style>
  <w:style w:type="character" w:styleId="700" w:customStyle="1">
    <w:name w:val="Интернет-ссылка"/>
    <w:qFormat/>
    <w:rPr>
      <w:color w:val="0000ff"/>
      <w:u w:val="single"/>
    </w:rPr>
  </w:style>
  <w:style w:type="character" w:styleId="701">
    <w:name w:val="Привязка сноски"/>
    <w:rPr>
      <w:vertAlign w:val="superscript"/>
    </w:rPr>
  </w:style>
  <w:style w:type="character" w:styleId="702" w:customStyle="1">
    <w:name w:val="Footnote Characters"/>
    <w:basedOn w:val="724"/>
    <w:qFormat/>
    <w:rPr>
      <w:vertAlign w:val="superscript"/>
    </w:rPr>
  </w:style>
  <w:style w:type="character" w:styleId="703">
    <w:name w:val="Привязка концевой сноски"/>
    <w:rPr>
      <w:vertAlign w:val="superscript"/>
    </w:rPr>
  </w:style>
  <w:style w:type="character" w:styleId="704" w:customStyle="1">
    <w:name w:val="Endnote Characters"/>
    <w:basedOn w:val="724"/>
    <w:qFormat/>
    <w:rPr>
      <w:vertAlign w:val="superscript"/>
    </w:rPr>
  </w:style>
  <w:style w:type="character" w:styleId="705">
    <w:name w:val="DStyle_text"/>
    <w:qFormat/>
  </w:style>
  <w:style w:type="character" w:styleId="706" w:customStyle="1">
    <w:name w:val="Heading 1 Char"/>
    <w:qFormat/>
    <w:rPr>
      <w:rFonts w:ascii="Arial" w:hAnsi="Arial" w:cs="Arial"/>
      <w:sz w:val="40"/>
    </w:rPr>
  </w:style>
  <w:style w:type="character" w:styleId="707" w:customStyle="1">
    <w:name w:val="Heading 2 Char"/>
    <w:qFormat/>
    <w:rPr>
      <w:rFonts w:ascii="Arial" w:hAnsi="Arial" w:cs="Arial"/>
      <w:sz w:val="34"/>
    </w:rPr>
  </w:style>
  <w:style w:type="character" w:styleId="708" w:customStyle="1">
    <w:name w:val="Heading 3 Char"/>
    <w:qFormat/>
    <w:rPr>
      <w:rFonts w:ascii="Arial" w:hAnsi="Arial" w:cs="Arial"/>
      <w:sz w:val="30"/>
    </w:rPr>
  </w:style>
  <w:style w:type="character" w:styleId="709" w:customStyle="1">
    <w:name w:val="Heading 4 Char"/>
    <w:qFormat/>
    <w:rPr>
      <w:rFonts w:ascii="Arial" w:hAnsi="Arial" w:cs="Arial"/>
      <w:b/>
      <w:sz w:val="26"/>
    </w:rPr>
  </w:style>
  <w:style w:type="character" w:styleId="710" w:customStyle="1">
    <w:name w:val="Heading 5 Char"/>
    <w:qFormat/>
    <w:rPr>
      <w:rFonts w:ascii="Arial" w:hAnsi="Arial" w:cs="Arial"/>
      <w:b/>
      <w:sz w:val="24"/>
    </w:rPr>
  </w:style>
  <w:style w:type="character" w:styleId="711" w:customStyle="1">
    <w:name w:val="Heading 6 Char"/>
    <w:qFormat/>
    <w:rPr>
      <w:rFonts w:ascii="Arial" w:hAnsi="Arial" w:cs="Arial"/>
      <w:b/>
      <w:sz w:val="22"/>
    </w:rPr>
  </w:style>
  <w:style w:type="character" w:styleId="712" w:customStyle="1">
    <w:name w:val="Heading 7 Char"/>
    <w:qFormat/>
    <w:rPr>
      <w:rFonts w:ascii="Arial" w:hAnsi="Arial" w:cs="Arial"/>
      <w:b/>
      <w:i/>
      <w:sz w:val="22"/>
    </w:rPr>
  </w:style>
  <w:style w:type="character" w:styleId="713" w:customStyle="1">
    <w:name w:val="Heading 8 Char"/>
    <w:qFormat/>
    <w:rPr>
      <w:rFonts w:ascii="Arial" w:hAnsi="Arial" w:cs="Arial"/>
      <w:i/>
      <w:sz w:val="22"/>
    </w:rPr>
  </w:style>
  <w:style w:type="character" w:styleId="714" w:customStyle="1">
    <w:name w:val="Heading 9 Char"/>
    <w:qFormat/>
    <w:rPr>
      <w:rFonts w:ascii="Arial" w:hAnsi="Arial" w:cs="Arial"/>
      <w:i/>
      <w:sz w:val="21"/>
    </w:rPr>
  </w:style>
  <w:style w:type="character" w:styleId="715" w:customStyle="1">
    <w:name w:val="Title Char"/>
    <w:qFormat/>
    <w:rPr>
      <w:sz w:val="48"/>
    </w:rPr>
  </w:style>
  <w:style w:type="character" w:styleId="716" w:customStyle="1">
    <w:name w:val="Subtitle Char"/>
    <w:qFormat/>
    <w:rPr>
      <w:sz w:val="24"/>
    </w:rPr>
  </w:style>
  <w:style w:type="character" w:styleId="717" w:customStyle="1">
    <w:name w:val="Quote Char"/>
    <w:qFormat/>
    <w:rPr>
      <w:i/>
    </w:rPr>
  </w:style>
  <w:style w:type="character" w:styleId="718" w:customStyle="1">
    <w:name w:val="Intense Quote Char"/>
    <w:qFormat/>
    <w:rPr>
      <w:i/>
    </w:rPr>
  </w:style>
  <w:style w:type="character" w:styleId="719" w:customStyle="1">
    <w:name w:val="Header Char"/>
    <w:qFormat/>
  </w:style>
  <w:style w:type="character" w:styleId="720" w:customStyle="1">
    <w:name w:val="Footer Char"/>
    <w:qFormat/>
  </w:style>
  <w:style w:type="character" w:styleId="721" w:customStyle="1">
    <w:name w:val="Caption Char"/>
    <w:qFormat/>
  </w:style>
  <w:style w:type="character" w:styleId="722" w:customStyle="1">
    <w:name w:val="Footnote Text Char"/>
    <w:qFormat/>
    <w:rPr>
      <w:sz w:val="18"/>
    </w:rPr>
  </w:style>
  <w:style w:type="character" w:styleId="723" w:customStyle="1">
    <w:name w:val="Endnote Text Char"/>
    <w:qFormat/>
    <w:rPr>
      <w:sz w:val="20"/>
    </w:rPr>
  </w:style>
  <w:style w:type="character" w:styleId="724" w:default="1">
    <w:name w:val="Default Paragraph Font"/>
    <w:qFormat/>
  </w:style>
  <w:style w:type="character" w:styleId="725" w:customStyle="1">
    <w:name w:val="T1"/>
    <w:qFormat/>
    <w:rPr>
      <w:rFonts w:ascii="Symbol" w:hAnsi="Symbol" w:cs="Symbol"/>
    </w:rPr>
  </w:style>
  <w:style w:type="character" w:styleId="726" w:customStyle="1">
    <w:name w:val="T2"/>
    <w:qFormat/>
    <w:rPr>
      <w:rFonts w:ascii="Courier New" w:hAnsi="Courier New" w:cs="Courier New"/>
    </w:rPr>
  </w:style>
  <w:style w:type="character" w:styleId="727" w:customStyle="1">
    <w:name w:val="T3"/>
    <w:qFormat/>
    <w:rPr>
      <w:rFonts w:ascii="Wingdings" w:hAnsi="Wingdings" w:cs="Wingdings"/>
    </w:rPr>
  </w:style>
  <w:style w:type="character" w:styleId="728" w:customStyle="1">
    <w:name w:val="T4"/>
    <w:qFormat/>
    <w:rPr>
      <w:rFonts w:ascii="Symbol" w:hAnsi="Symbol" w:cs="Symbol"/>
    </w:rPr>
  </w:style>
  <w:style w:type="character" w:styleId="729" w:customStyle="1">
    <w:name w:val="T5"/>
    <w:qFormat/>
    <w:rPr>
      <w:rFonts w:ascii="Courier New" w:hAnsi="Courier New" w:cs="Courier New"/>
    </w:rPr>
  </w:style>
  <w:style w:type="character" w:styleId="730" w:customStyle="1">
    <w:name w:val="T6"/>
    <w:qFormat/>
    <w:rPr>
      <w:rFonts w:ascii="Wingdings" w:hAnsi="Wingdings" w:cs="Wingdings"/>
    </w:rPr>
  </w:style>
  <w:style w:type="character" w:styleId="731" w:customStyle="1">
    <w:name w:val="T7"/>
    <w:qFormat/>
    <w:rPr>
      <w:rFonts w:ascii="Symbol" w:hAnsi="Symbol" w:cs="Symbol"/>
    </w:rPr>
  </w:style>
  <w:style w:type="character" w:styleId="732" w:customStyle="1">
    <w:name w:val="T8"/>
    <w:qFormat/>
    <w:rPr>
      <w:rFonts w:ascii="Courier New" w:hAnsi="Courier New" w:cs="Courier New"/>
    </w:rPr>
  </w:style>
  <w:style w:type="character" w:styleId="733" w:customStyle="1">
    <w:name w:val="T9"/>
    <w:qFormat/>
    <w:rPr>
      <w:rFonts w:ascii="Wingdings" w:hAnsi="Wingdings" w:cs="Wingdings"/>
    </w:rPr>
  </w:style>
  <w:style w:type="character" w:styleId="734" w:customStyle="1">
    <w:name w:val="T10"/>
    <w:qFormat/>
    <w:rPr>
      <w:rFonts w:ascii="Symbol" w:hAnsi="Symbol" w:cs="Symbol"/>
    </w:rPr>
  </w:style>
  <w:style w:type="character" w:styleId="735" w:customStyle="1">
    <w:name w:val="T11"/>
    <w:qFormat/>
    <w:rPr>
      <w:rFonts w:ascii="Courier New" w:hAnsi="Courier New" w:cs="Courier New"/>
    </w:rPr>
  </w:style>
  <w:style w:type="character" w:styleId="736" w:customStyle="1">
    <w:name w:val="T12"/>
    <w:qFormat/>
    <w:rPr>
      <w:rFonts w:ascii="Wingdings" w:hAnsi="Wingdings" w:cs="Wingdings"/>
    </w:rPr>
  </w:style>
  <w:style w:type="character" w:styleId="737" w:customStyle="1">
    <w:name w:val="T13"/>
    <w:qFormat/>
    <w:rPr>
      <w:rFonts w:ascii="Symbol" w:hAnsi="Symbol" w:cs="Symbol"/>
    </w:rPr>
  </w:style>
  <w:style w:type="character" w:styleId="738" w:customStyle="1">
    <w:name w:val="T14"/>
    <w:qFormat/>
    <w:rPr>
      <w:rFonts w:ascii="Courier New" w:hAnsi="Courier New" w:cs="Courier New"/>
    </w:rPr>
  </w:style>
  <w:style w:type="character" w:styleId="739" w:customStyle="1">
    <w:name w:val="T15"/>
    <w:qFormat/>
    <w:rPr>
      <w:rFonts w:ascii="Wingdings" w:hAnsi="Wingdings" w:cs="Wingdings"/>
    </w:rPr>
  </w:style>
  <w:style w:type="character" w:styleId="740" w:customStyle="1">
    <w:name w:val="T16"/>
    <w:qFormat/>
    <w:rPr>
      <w:rFonts w:ascii="Symbol" w:hAnsi="Symbol" w:cs="Symbol"/>
    </w:rPr>
  </w:style>
  <w:style w:type="character" w:styleId="741" w:customStyle="1">
    <w:name w:val="T17"/>
    <w:qFormat/>
    <w:rPr>
      <w:rFonts w:ascii="Courier New" w:hAnsi="Courier New" w:cs="Courier New"/>
    </w:rPr>
  </w:style>
  <w:style w:type="character" w:styleId="742" w:customStyle="1">
    <w:name w:val="T18"/>
    <w:qFormat/>
    <w:rPr>
      <w:rFonts w:ascii="Wingdings" w:hAnsi="Wingdings" w:cs="Wingdings"/>
    </w:rPr>
  </w:style>
  <w:style w:type="character" w:styleId="743" w:customStyle="1">
    <w:name w:val="T19"/>
    <w:qFormat/>
    <w:rPr>
      <w:rFonts w:ascii="Symbol" w:hAnsi="Symbol" w:cs="Symbol"/>
    </w:rPr>
  </w:style>
  <w:style w:type="character" w:styleId="744" w:customStyle="1">
    <w:name w:val="T20"/>
    <w:qFormat/>
    <w:rPr>
      <w:rFonts w:ascii="Courier New" w:hAnsi="Courier New" w:cs="Courier New"/>
    </w:rPr>
  </w:style>
  <w:style w:type="character" w:styleId="745" w:customStyle="1">
    <w:name w:val="T21"/>
    <w:qFormat/>
    <w:rPr>
      <w:rFonts w:ascii="Wingdings" w:hAnsi="Wingdings" w:cs="Wingdings"/>
    </w:rPr>
  </w:style>
  <w:style w:type="character" w:styleId="746" w:customStyle="1">
    <w:name w:val="T22"/>
    <w:qFormat/>
    <w:rPr>
      <w:rFonts w:ascii="Symbol" w:hAnsi="Symbol" w:cs="Symbol"/>
    </w:rPr>
  </w:style>
  <w:style w:type="character" w:styleId="747" w:customStyle="1">
    <w:name w:val="T23"/>
    <w:qFormat/>
    <w:rPr>
      <w:rFonts w:ascii="Courier New" w:hAnsi="Courier New" w:cs="Courier New"/>
    </w:rPr>
  </w:style>
  <w:style w:type="character" w:styleId="748" w:customStyle="1">
    <w:name w:val="T24"/>
    <w:qFormat/>
    <w:rPr>
      <w:rFonts w:ascii="Wingdings" w:hAnsi="Wingdings" w:cs="Wingdings"/>
    </w:rPr>
  </w:style>
  <w:style w:type="character" w:styleId="749" w:customStyle="1">
    <w:name w:val="T25"/>
    <w:qFormat/>
    <w:rPr>
      <w:rFonts w:ascii="Symbol" w:hAnsi="Symbol" w:cs="Symbol"/>
    </w:rPr>
  </w:style>
  <w:style w:type="character" w:styleId="750" w:customStyle="1">
    <w:name w:val="T26"/>
    <w:qFormat/>
    <w:rPr>
      <w:rFonts w:ascii="Courier New" w:hAnsi="Courier New" w:cs="Courier New"/>
    </w:rPr>
  </w:style>
  <w:style w:type="character" w:styleId="751" w:customStyle="1">
    <w:name w:val="T27"/>
    <w:qFormat/>
    <w:rPr>
      <w:rFonts w:ascii="Wingdings" w:hAnsi="Wingdings" w:cs="Wingdings"/>
    </w:rPr>
  </w:style>
  <w:style w:type="character" w:styleId="752" w:customStyle="1">
    <w:name w:val="T28"/>
    <w:qFormat/>
    <w:rPr>
      <w:rFonts w:ascii="Symbol" w:hAnsi="Symbol" w:cs="Symbol"/>
    </w:rPr>
  </w:style>
  <w:style w:type="character" w:styleId="753" w:customStyle="1">
    <w:name w:val="T29"/>
    <w:qFormat/>
    <w:rPr>
      <w:rFonts w:ascii="Courier New" w:hAnsi="Courier New" w:cs="Courier New"/>
    </w:rPr>
  </w:style>
  <w:style w:type="character" w:styleId="754" w:customStyle="1">
    <w:name w:val="T30"/>
    <w:qFormat/>
    <w:rPr>
      <w:rFonts w:ascii="Wingdings" w:hAnsi="Wingdings" w:cs="Wingdings"/>
    </w:rPr>
  </w:style>
  <w:style w:type="character" w:styleId="755" w:customStyle="1">
    <w:name w:val="T31"/>
    <w:qFormat/>
    <w:rPr>
      <w:rFonts w:ascii="Symbol" w:hAnsi="Symbol" w:cs="Symbol"/>
    </w:rPr>
  </w:style>
  <w:style w:type="character" w:styleId="756" w:customStyle="1">
    <w:name w:val="T32"/>
    <w:qFormat/>
    <w:rPr>
      <w:rFonts w:ascii="Courier New" w:hAnsi="Courier New" w:cs="Courier New"/>
    </w:rPr>
  </w:style>
  <w:style w:type="character" w:styleId="757" w:customStyle="1">
    <w:name w:val="T33"/>
    <w:qFormat/>
    <w:rPr>
      <w:rFonts w:ascii="Wingdings" w:hAnsi="Wingdings" w:cs="Wingdings"/>
    </w:rPr>
  </w:style>
  <w:style w:type="character" w:styleId="758" w:customStyle="1">
    <w:name w:val="T34"/>
    <w:qFormat/>
    <w:rPr>
      <w:rFonts w:ascii="Symbol" w:hAnsi="Symbol" w:cs="Symbol"/>
    </w:rPr>
  </w:style>
  <w:style w:type="character" w:styleId="759" w:customStyle="1">
    <w:name w:val="T35"/>
    <w:qFormat/>
    <w:rPr>
      <w:rFonts w:ascii="Courier New" w:hAnsi="Courier New" w:cs="Courier New"/>
    </w:rPr>
  </w:style>
  <w:style w:type="character" w:styleId="760" w:customStyle="1">
    <w:name w:val="T36"/>
    <w:qFormat/>
    <w:rPr>
      <w:rFonts w:ascii="Wingdings" w:hAnsi="Wingdings" w:cs="Wingdings"/>
    </w:rPr>
  </w:style>
  <w:style w:type="character" w:styleId="761" w:customStyle="1">
    <w:name w:val="T37"/>
    <w:qFormat/>
    <w:rPr>
      <w:rFonts w:ascii="Symbol" w:hAnsi="Symbol" w:cs="Symbol"/>
    </w:rPr>
  </w:style>
  <w:style w:type="character" w:styleId="762" w:customStyle="1">
    <w:name w:val="T38"/>
    <w:qFormat/>
    <w:rPr>
      <w:rFonts w:ascii="Courier New" w:hAnsi="Courier New" w:cs="Courier New"/>
    </w:rPr>
  </w:style>
  <w:style w:type="character" w:styleId="763" w:customStyle="1">
    <w:name w:val="T39"/>
    <w:qFormat/>
    <w:rPr>
      <w:rFonts w:ascii="Wingdings" w:hAnsi="Wingdings" w:cs="Wingdings"/>
    </w:rPr>
  </w:style>
  <w:style w:type="character" w:styleId="764" w:customStyle="1">
    <w:name w:val="T40"/>
    <w:qFormat/>
    <w:rPr>
      <w:rFonts w:ascii="Symbol" w:hAnsi="Symbol" w:cs="Symbol"/>
    </w:rPr>
  </w:style>
  <w:style w:type="character" w:styleId="765" w:customStyle="1">
    <w:name w:val="T41"/>
    <w:qFormat/>
    <w:rPr>
      <w:rFonts w:ascii="Courier New" w:hAnsi="Courier New" w:cs="Courier New"/>
    </w:rPr>
  </w:style>
  <w:style w:type="character" w:styleId="766" w:customStyle="1">
    <w:name w:val="T42"/>
    <w:qFormat/>
    <w:rPr>
      <w:rFonts w:ascii="Wingdings" w:hAnsi="Wingdings" w:cs="Wingdings"/>
    </w:rPr>
  </w:style>
  <w:style w:type="character" w:styleId="767" w:customStyle="1">
    <w:name w:val="T43"/>
    <w:qFormat/>
    <w:rPr>
      <w:rFonts w:ascii="Symbol" w:hAnsi="Symbol" w:cs="Symbol"/>
    </w:rPr>
  </w:style>
  <w:style w:type="character" w:styleId="768" w:customStyle="1">
    <w:name w:val="T44"/>
    <w:qFormat/>
    <w:rPr>
      <w:rFonts w:ascii="Courier New" w:hAnsi="Courier New" w:cs="Courier New"/>
    </w:rPr>
  </w:style>
  <w:style w:type="character" w:styleId="769" w:customStyle="1">
    <w:name w:val="T45"/>
    <w:qFormat/>
    <w:rPr>
      <w:rFonts w:ascii="Wingdings" w:hAnsi="Wingdings" w:cs="Wingdings"/>
    </w:rPr>
  </w:style>
  <w:style w:type="character" w:styleId="770" w:customStyle="1">
    <w:name w:val="T46"/>
    <w:qFormat/>
    <w:rPr>
      <w:rFonts w:ascii="Symbol" w:hAnsi="Symbol" w:cs="Symbol"/>
    </w:rPr>
  </w:style>
  <w:style w:type="character" w:styleId="771" w:customStyle="1">
    <w:name w:val="T47"/>
    <w:qFormat/>
    <w:rPr>
      <w:rFonts w:ascii="Courier New" w:hAnsi="Courier New" w:cs="Courier New"/>
    </w:rPr>
  </w:style>
  <w:style w:type="character" w:styleId="772" w:customStyle="1">
    <w:name w:val="T48"/>
    <w:qFormat/>
    <w:rPr>
      <w:rFonts w:ascii="Wingdings" w:hAnsi="Wingdings" w:cs="Wingdings"/>
    </w:rPr>
  </w:style>
  <w:style w:type="character" w:styleId="773" w:customStyle="1">
    <w:name w:val="T49"/>
    <w:qFormat/>
    <w:rPr>
      <w:rFonts w:ascii="Symbol" w:hAnsi="Symbol" w:cs="Symbol"/>
    </w:rPr>
  </w:style>
  <w:style w:type="character" w:styleId="774" w:customStyle="1">
    <w:name w:val="T50"/>
    <w:qFormat/>
    <w:rPr>
      <w:rFonts w:ascii="Courier New" w:hAnsi="Courier New" w:cs="Courier New"/>
    </w:rPr>
  </w:style>
  <w:style w:type="character" w:styleId="775" w:customStyle="1">
    <w:name w:val="T51"/>
    <w:qFormat/>
    <w:rPr>
      <w:rFonts w:ascii="Wingdings" w:hAnsi="Wingdings" w:cs="Wingdings"/>
    </w:rPr>
  </w:style>
  <w:style w:type="character" w:styleId="776" w:customStyle="1">
    <w:name w:val="T52"/>
    <w:qFormat/>
    <w:rPr>
      <w:rFonts w:ascii="Symbol" w:hAnsi="Symbol" w:cs="Symbol"/>
    </w:rPr>
  </w:style>
  <w:style w:type="character" w:styleId="777" w:customStyle="1">
    <w:name w:val="T53"/>
    <w:qFormat/>
    <w:rPr>
      <w:rFonts w:ascii="Courier New" w:hAnsi="Courier New" w:cs="Courier New"/>
    </w:rPr>
  </w:style>
  <w:style w:type="character" w:styleId="778" w:customStyle="1">
    <w:name w:val="T54"/>
    <w:qFormat/>
    <w:rPr>
      <w:rFonts w:ascii="Wingdings" w:hAnsi="Wingdings" w:cs="Wingdings"/>
    </w:rPr>
  </w:style>
  <w:style w:type="character" w:styleId="779" w:customStyle="1">
    <w:name w:val="T55"/>
    <w:qFormat/>
    <w:rPr>
      <w:rFonts w:ascii="Symbol" w:hAnsi="Symbol" w:cs="Symbol"/>
    </w:rPr>
  </w:style>
  <w:style w:type="character" w:styleId="780" w:customStyle="1">
    <w:name w:val="T56"/>
    <w:qFormat/>
    <w:rPr>
      <w:rFonts w:ascii="Courier New" w:hAnsi="Courier New" w:cs="Courier New"/>
    </w:rPr>
  </w:style>
  <w:style w:type="character" w:styleId="781" w:customStyle="1">
    <w:name w:val="T57"/>
    <w:qFormat/>
    <w:rPr>
      <w:rFonts w:ascii="Wingdings" w:hAnsi="Wingdings" w:cs="Wingdings"/>
    </w:rPr>
  </w:style>
  <w:style w:type="character" w:styleId="782" w:customStyle="1">
    <w:name w:val="T58"/>
    <w:qFormat/>
    <w:rPr>
      <w:rFonts w:ascii="Symbol" w:hAnsi="Symbol" w:cs="Symbol"/>
    </w:rPr>
  </w:style>
  <w:style w:type="character" w:styleId="783" w:customStyle="1">
    <w:name w:val="T59"/>
    <w:qFormat/>
    <w:rPr>
      <w:rFonts w:ascii="Courier New" w:hAnsi="Courier New" w:cs="Courier New"/>
    </w:rPr>
  </w:style>
  <w:style w:type="character" w:styleId="784" w:customStyle="1">
    <w:name w:val="T60"/>
    <w:qFormat/>
    <w:rPr>
      <w:rFonts w:ascii="Wingdings" w:hAnsi="Wingdings" w:cs="Wingdings"/>
    </w:rPr>
  </w:style>
  <w:style w:type="character" w:styleId="785" w:customStyle="1">
    <w:name w:val="T61"/>
    <w:qFormat/>
    <w:rPr>
      <w:rFonts w:ascii="Symbol" w:hAnsi="Symbol" w:cs="Symbol"/>
    </w:rPr>
  </w:style>
  <w:style w:type="character" w:styleId="786" w:customStyle="1">
    <w:name w:val="T62"/>
    <w:qFormat/>
    <w:rPr>
      <w:rFonts w:ascii="Courier New" w:hAnsi="Courier New" w:cs="Courier New"/>
    </w:rPr>
  </w:style>
  <w:style w:type="character" w:styleId="787" w:customStyle="1">
    <w:name w:val="T63"/>
    <w:qFormat/>
    <w:rPr>
      <w:rFonts w:ascii="Wingdings" w:hAnsi="Wingdings" w:cs="Wingdings"/>
    </w:rPr>
  </w:style>
  <w:style w:type="character" w:styleId="788" w:customStyle="1">
    <w:name w:val="Основной шрифт абзаца"/>
    <w:qFormat/>
    <w:rPr>
      <w:sz w:val="20"/>
    </w:rPr>
  </w:style>
  <w:style w:type="character" w:styleId="789">
    <w:name w:val="Выделение жирным"/>
    <w:qFormat/>
    <w:rPr>
      <w:b/>
      <w:bCs/>
    </w:rPr>
  </w:style>
  <w:style w:type="paragraph" w:styleId="790">
    <w:name w:val="Заголовок"/>
    <w:basedOn w:val="690"/>
    <w:next w:val="791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91">
    <w:name w:val="Body Text"/>
    <w:basedOn w:val="690"/>
    <w:pPr>
      <w:spacing w:before="0" w:after="140" w:line="276" w:lineRule="auto"/>
    </w:pPr>
  </w:style>
  <w:style w:type="paragraph" w:styleId="792">
    <w:name w:val="List"/>
    <w:basedOn w:val="791"/>
    <w:rPr>
      <w:rFonts w:cs="Lucida Sans"/>
    </w:rPr>
  </w:style>
  <w:style w:type="paragraph" w:styleId="793" w:customStyle="1">
    <w:name w:val="Caption"/>
    <w:basedOn w:val="690"/>
    <w:link w:val="721"/>
    <w:qFormat/>
    <w:pPr>
      <w:spacing w:line="276" w:lineRule="auto"/>
    </w:pPr>
    <w:rPr>
      <w:b/>
      <w:color w:val="4f81bd"/>
      <w:sz w:val="18"/>
    </w:rPr>
  </w:style>
  <w:style w:type="paragraph" w:styleId="794">
    <w:name w:val="Указатель"/>
    <w:basedOn w:val="690"/>
    <w:qFormat/>
    <w:pPr>
      <w:suppressLineNumbers/>
    </w:pPr>
    <w:rPr>
      <w:rFonts w:cs="Lucida Sans"/>
    </w:rPr>
  </w:style>
  <w:style w:type="paragraph" w:styleId="795">
    <w:name w:val="DStyle_paragraph"/>
    <w:qFormat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2"/>
      <w:szCs w:val="20"/>
      <w:lang w:val="ru-RU" w:eastAsia="zh-CN" w:bidi="hi-IN"/>
    </w:rPr>
  </w:style>
  <w:style w:type="paragraph" w:styleId="796" w:customStyle="1">
    <w:name w:val="List Paragraph"/>
    <w:basedOn w:val="690"/>
    <w:qFormat/>
    <w:pPr>
      <w:ind w:left="720" w:right="0" w:firstLine="0"/>
    </w:pPr>
  </w:style>
  <w:style w:type="paragraph" w:styleId="797" w:customStyle="1">
    <w:name w:val="No Spacing"/>
    <w:basedOn w:val="795"/>
    <w:qFormat/>
    <w:pPr>
      <w:spacing w:before="0" w:after="0" w:line="240" w:lineRule="auto"/>
    </w:pPr>
  </w:style>
  <w:style w:type="paragraph" w:styleId="798" w:customStyle="1">
    <w:name w:val="Title"/>
    <w:basedOn w:val="690"/>
    <w:qFormat/>
    <w:pPr>
      <w:spacing w:before="300" w:after="200"/>
    </w:pPr>
    <w:rPr>
      <w:sz w:val="48"/>
    </w:rPr>
  </w:style>
  <w:style w:type="paragraph" w:styleId="799" w:customStyle="1">
    <w:name w:val="Subtitle"/>
    <w:basedOn w:val="690"/>
    <w:qFormat/>
    <w:pPr>
      <w:spacing w:before="200" w:after="200"/>
    </w:pPr>
    <w:rPr>
      <w:sz w:val="24"/>
    </w:rPr>
  </w:style>
  <w:style w:type="paragraph" w:styleId="800" w:customStyle="1">
    <w:name w:val="Quote"/>
    <w:basedOn w:val="690"/>
    <w:qFormat/>
    <w:pPr>
      <w:ind w:left="720" w:right="720" w:firstLine="0"/>
    </w:pPr>
    <w:rPr>
      <w:i/>
    </w:rPr>
  </w:style>
  <w:style w:type="paragraph" w:styleId="801" w:customStyle="1">
    <w:name w:val="Intense Quote"/>
    <w:basedOn w:val="690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02">
    <w:name w:val="Верхний и нижний колонтитулы"/>
    <w:basedOn w:val="690"/>
    <w:qFormat/>
  </w:style>
  <w:style w:type="paragraph" w:styleId="803" w:customStyle="1">
    <w:name w:val="Header"/>
    <w:basedOn w:val="690"/>
    <w:qFormat/>
    <w:pPr>
      <w:spacing w:before="0" w:after="0" w:line="240" w:lineRule="auto"/>
      <w:tabs>
        <w:tab w:val="clear" w:pos="709" w:leader="none"/>
        <w:tab w:val="center" w:pos="7142" w:leader="none"/>
        <w:tab w:val="right" w:pos="14285" w:leader="none"/>
      </w:tabs>
    </w:pPr>
  </w:style>
  <w:style w:type="paragraph" w:styleId="804" w:customStyle="1">
    <w:name w:val="Footer"/>
    <w:basedOn w:val="690"/>
    <w:qFormat/>
    <w:pPr>
      <w:spacing w:before="0" w:after="0" w:line="240" w:lineRule="auto"/>
      <w:tabs>
        <w:tab w:val="clear" w:pos="709" w:leader="none"/>
        <w:tab w:val="center" w:pos="7142" w:leader="none"/>
        <w:tab w:val="right" w:pos="14285" w:leader="none"/>
      </w:tabs>
    </w:pPr>
  </w:style>
  <w:style w:type="paragraph" w:styleId="805" w:customStyle="1">
    <w:name w:val="footnote text"/>
    <w:basedOn w:val="690"/>
    <w:qFormat/>
    <w:pPr>
      <w:spacing w:before="0" w:after="40" w:line="240" w:lineRule="auto"/>
    </w:pPr>
    <w:rPr>
      <w:sz w:val="18"/>
    </w:rPr>
  </w:style>
  <w:style w:type="paragraph" w:styleId="806" w:customStyle="1">
    <w:name w:val="endnote text"/>
    <w:basedOn w:val="690"/>
    <w:qFormat/>
    <w:pPr>
      <w:spacing w:before="0" w:after="0" w:line="240" w:lineRule="auto"/>
    </w:pPr>
    <w:rPr>
      <w:sz w:val="20"/>
    </w:rPr>
  </w:style>
  <w:style w:type="paragraph" w:styleId="807" w:customStyle="1">
    <w:name w:val="toc 1"/>
    <w:basedOn w:val="690"/>
    <w:qFormat/>
    <w:pPr>
      <w:ind w:left="0" w:right="0" w:firstLine="0"/>
      <w:spacing w:before="0" w:after="57"/>
    </w:pPr>
  </w:style>
  <w:style w:type="paragraph" w:styleId="808" w:customStyle="1">
    <w:name w:val="toc 2"/>
    <w:basedOn w:val="690"/>
    <w:qFormat/>
    <w:pPr>
      <w:ind w:left="283" w:right="0" w:firstLine="0"/>
      <w:spacing w:before="0" w:after="57"/>
    </w:pPr>
  </w:style>
  <w:style w:type="paragraph" w:styleId="809" w:customStyle="1">
    <w:name w:val="toc 3"/>
    <w:basedOn w:val="690"/>
    <w:qFormat/>
    <w:pPr>
      <w:ind w:left="567" w:right="0" w:firstLine="0"/>
      <w:spacing w:before="0" w:after="57"/>
    </w:pPr>
  </w:style>
  <w:style w:type="paragraph" w:styleId="810" w:customStyle="1">
    <w:name w:val="toc 4"/>
    <w:basedOn w:val="690"/>
    <w:qFormat/>
    <w:pPr>
      <w:ind w:left="850" w:right="0" w:firstLine="0"/>
      <w:spacing w:before="0" w:after="57"/>
    </w:pPr>
  </w:style>
  <w:style w:type="paragraph" w:styleId="811" w:customStyle="1">
    <w:name w:val="toc 5"/>
    <w:basedOn w:val="690"/>
    <w:qFormat/>
    <w:pPr>
      <w:ind w:left="1134" w:right="0" w:firstLine="0"/>
      <w:spacing w:before="0" w:after="57"/>
    </w:pPr>
  </w:style>
  <w:style w:type="paragraph" w:styleId="812" w:customStyle="1">
    <w:name w:val="toc 6"/>
    <w:basedOn w:val="690"/>
    <w:qFormat/>
    <w:pPr>
      <w:ind w:left="1417" w:right="0" w:firstLine="0"/>
      <w:spacing w:before="0" w:after="57"/>
    </w:pPr>
  </w:style>
  <w:style w:type="paragraph" w:styleId="813" w:customStyle="1">
    <w:name w:val="toc 7"/>
    <w:basedOn w:val="690"/>
    <w:qFormat/>
    <w:pPr>
      <w:ind w:left="1701" w:right="0" w:firstLine="0"/>
      <w:spacing w:before="0" w:after="57"/>
    </w:pPr>
  </w:style>
  <w:style w:type="paragraph" w:styleId="814" w:customStyle="1">
    <w:name w:val="toc 8"/>
    <w:basedOn w:val="690"/>
    <w:qFormat/>
    <w:pPr>
      <w:ind w:left="1984" w:right="0" w:firstLine="0"/>
      <w:spacing w:before="0" w:after="57"/>
    </w:pPr>
  </w:style>
  <w:style w:type="paragraph" w:styleId="815" w:customStyle="1">
    <w:name w:val="toc 9"/>
    <w:basedOn w:val="690"/>
    <w:qFormat/>
    <w:pPr>
      <w:ind w:left="2268" w:right="0" w:firstLine="0"/>
      <w:spacing w:before="0" w:after="57"/>
    </w:pPr>
  </w:style>
  <w:style w:type="paragraph" w:styleId="816" w:customStyle="1">
    <w:name w:val="TOC Heading"/>
    <w:basedOn w:val="795"/>
    <w:qFormat/>
  </w:style>
  <w:style w:type="paragraph" w:styleId="817" w:customStyle="1">
    <w:name w:val="table of figures"/>
    <w:basedOn w:val="690"/>
    <w:qFormat/>
    <w:pPr>
      <w:spacing w:before="0" w:after="0"/>
    </w:pPr>
  </w:style>
  <w:style w:type="paragraph" w:styleId="818" w:customStyle="1">
    <w:name w:val="Абзац списк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819">
    <w:name w:val="Содержимое таблицы"/>
    <w:basedOn w:val="690"/>
    <w:qFormat/>
    <w:pPr>
      <w:widowControl w:val="off"/>
      <w:suppressLineNumbers/>
    </w:pPr>
  </w:style>
  <w:style w:type="numbering" w:styleId="820" w:default="1">
    <w:name w:val="No List"/>
    <w:uiPriority w:val="99"/>
    <w:semiHidden/>
    <w:unhideWhenUsed/>
    <w:qFormat/>
  </w:style>
  <w:style w:type="table" w:styleId="82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5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5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5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7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4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PC</cp:lastModifiedBy>
  <cp:revision>21</cp:revision>
  <dcterms:modified xsi:type="dcterms:W3CDTF">2026-02-12T09:55:13Z</dcterms:modified>
</cp:coreProperties>
</file>