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contextualSpacing w:val="0"/>
        <w:jc w:val="center"/>
        <w:rPr>
          <w:rFonts w:ascii="Times New Roman" w:hAnsi="Times New Roman" w:eastAsia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Федерально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государствен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ное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бюджетно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научно-исследовательско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 учреждени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е</w:t>
        <w:br/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Российский институт истории искусств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pStyle w:val="859"/>
        <w:ind w:left="5386" w:right="0"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color w:val="000000" w:themeColor="text1"/>
          <w:sz w:val="26"/>
          <w:szCs w:val="26"/>
          <w:highlight w:val="none"/>
          <w:lang w:val="ru-RU"/>
        </w:rPr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</w:p>
    <w:p>
      <w:pPr>
        <w:pStyle w:val="859"/>
        <w:ind w:left="5386" w:right="0" w:firstLine="0"/>
        <w:jc w:val="left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 w:val="0"/>
          <w:color w:val="000000" w:themeColor="text1"/>
          <w:sz w:val="26"/>
          <w:szCs w:val="26"/>
          <w:lang w:val="ru-RU"/>
        </w:rPr>
        <w:t xml:space="preserve">Утверждено</w:t>
        <w:br/>
      </w:r>
      <w:r>
        <w:rPr>
          <w:rFonts w:hint="default" w:ascii="Times New Roman" w:hAnsi="Times New Roman" w:eastAsia="Times New Roman" w:cs="Times New Roman"/>
          <w:b w:val="0"/>
          <w:color w:val="000000" w:themeColor="text1"/>
          <w:sz w:val="26"/>
          <w:szCs w:val="26"/>
          <w:lang w:val="ru-RU"/>
        </w:rPr>
        <w:t xml:space="preserve">приказом РИИИ № 17-п от 28.06.2024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</w:rPr>
      </w:r>
    </w:p>
    <w:p>
      <w:pPr>
        <w:pStyle w:val="682"/>
        <w:jc w:val="center"/>
        <w:rPr>
          <w:rFonts w:hint="default" w:ascii="Times New Roman" w:hAnsi="Times New Roman" w:eastAsia="Times New Roman" w:cs="Times New Roman"/>
          <w:bCs w:val="0"/>
          <w:i w:val="0"/>
          <w:caps w:val="0"/>
          <w:color w:val="222222"/>
          <w:spacing w:val="0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i w:val="0"/>
          <w:iCs w:val="0"/>
          <w:caps w:val="0"/>
          <w:color w:val="222222"/>
          <w:spacing w:val="0"/>
          <w:sz w:val="26"/>
          <w:szCs w:val="26"/>
          <w:highlight w:val="none"/>
          <w:shd w:val="clear" w:color="auto" w:fill="ffffff"/>
        </w:rPr>
      </w:r>
      <w:r>
        <w:rPr>
          <w:rFonts w:hint="default" w:ascii="Times New Roman" w:hAnsi="Times New Roman" w:eastAsia="Times New Roman" w:cs="Times New Roman"/>
          <w:bCs w:val="0"/>
          <w:i w:val="0"/>
          <w:caps w:val="0"/>
          <w:color w:val="222222"/>
          <w:spacing w:val="0"/>
          <w:sz w:val="26"/>
          <w:szCs w:val="26"/>
          <w:highlight w:val="none"/>
        </w:rPr>
      </w:r>
      <w:r>
        <w:rPr>
          <w:rFonts w:hint="default" w:ascii="Times New Roman" w:hAnsi="Times New Roman" w:eastAsia="Times New Roman" w:cs="Times New Roman"/>
          <w:bCs w:val="0"/>
          <w:i w:val="0"/>
          <w:caps w:val="0"/>
          <w:color w:val="222222"/>
          <w:spacing w:val="0"/>
          <w:sz w:val="26"/>
          <w:szCs w:val="26"/>
          <w:highlight w:val="none"/>
        </w:rPr>
      </w:r>
    </w:p>
    <w:p>
      <w:pPr>
        <w:pStyle w:val="682"/>
        <w:jc w:val="center"/>
        <w:rPr>
          <w:rFonts w:hint="default" w:ascii="Times New Roman" w:hAnsi="Times New Roman" w:eastAsia="Times New Roman" w:cs="Times New Roman"/>
          <w:b/>
          <w:bCs/>
          <w:i w:val="0"/>
          <w:caps w:val="0"/>
          <w:color w:val="222222"/>
          <w:spacing w:val="0"/>
          <w:sz w:val="26"/>
          <w:szCs w:val="26"/>
          <w:highlight w:val="none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aps w:val="0"/>
          <w:color w:val="222222"/>
          <w:spacing w:val="0"/>
          <w:sz w:val="26"/>
          <w:szCs w:val="26"/>
          <w:shd w:val="clear" w:color="auto" w:fill="ffffff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Положение о комиссии по инвентаризации</w:t>
      </w:r>
      <w:r>
        <w:rPr>
          <w:rFonts w:hint="default" w:ascii="Times New Roman" w:hAnsi="Times New Roman" w:eastAsia="Times New Roman" w:cs="Times New Roman"/>
          <w:b/>
          <w:bCs/>
          <w:i w:val="0"/>
          <w:caps w:val="0"/>
          <w:color w:val="222222"/>
          <w:spacing w:val="0"/>
          <w:sz w:val="26"/>
          <w:szCs w:val="26"/>
          <w:highlight w:val="none"/>
        </w:rPr>
      </w:r>
      <w:r>
        <w:rPr>
          <w:rFonts w:hint="default" w:ascii="Times New Roman" w:hAnsi="Times New Roman" w:eastAsia="Times New Roman" w:cs="Times New Roman"/>
          <w:b/>
          <w:bCs/>
          <w:i w:val="0"/>
          <w:caps w:val="0"/>
          <w:color w:val="222222"/>
          <w:spacing w:val="0"/>
          <w:sz w:val="26"/>
          <w:szCs w:val="26"/>
          <w:highlight w:val="none"/>
        </w:rPr>
      </w:r>
    </w:p>
    <w:p>
      <w:pPr>
        <w:pStyle w:val="690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1. Общие положения</w:t>
      </w:r>
      <w:bookmarkStart w:id="0" w:name="_GoBack"/>
      <w:r>
        <w:rPr>
          <w:rFonts w:ascii="Times New Roman" w:hAnsi="Times New Roman" w:eastAsia="Times New Roman" w:cs="Times New Roman"/>
          <w:sz w:val="26"/>
          <w:szCs w:val="26"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  <w:highlight w:val="none"/>
        </w:rPr>
      </w:r>
    </w:p>
    <w:p>
      <w:pPr>
        <w:spacing w:line="240" w:lineRule="auto"/>
        <w:ind w:firstLine="720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Комиссия по инвентаризации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Федерально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ого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бюджетно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го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научно-исследовательско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го</w:t>
      </w:r>
      <w:r>
        <w:rPr>
          <w:rFonts w:hint="default" w:ascii="Times New Roman" w:hAnsi="Times New Roman" w:eastAsia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учреждени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Российский институт истории искусств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» (далее – Комиссия, РИИИ)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создана для проведения инвентаризаций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РИИИ.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</w:r>
      <w:r>
        <w:rPr>
          <w:rFonts w:hint="default"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Комиссия при организации и проведении инвентаризации руководствуется статьей 11 Закона от 06.12.2011 № 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402-ФЗ, пунктами 6 и 20 Инструкции к Единому плану счетов № 157н, Федеральным стандартом «Учетная политика, оценочные значения и ошибки», утвержденным приказом Минфина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России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от 30.12.2017 № 274, а также Порядком и графиком проведения инвентаризации в учреждении.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2. Основные задачи Комиссии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2.1. Основными задачами Комиссии являются проведение инвентаризации имущества, финансовых активов и обязательств учреждения,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том числе на забалансовых счетах, сопоставление фактического наличия объектов инвентаризации с данными бухгалтерского учета, выявление неучтенных объектов, подготовка документов для списания нефинансовых активов, дебиторской и кредиторской задолженности.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88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Style w:val="691"/>
          <w:rFonts w:ascii="Times New Roman" w:hAnsi="Times New Roman" w:eastAsia="Times New Roman" w:cs="Times New Roman"/>
          <w:sz w:val="26"/>
          <w:szCs w:val="26"/>
        </w:rPr>
        <w:t xml:space="preserve">3. Организация деятельности Комиссии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3.1. Комиссию возглавляет председатель, который: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осуществляет общее руководство работой Комиссии;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распределяет обязанности и дает поручения членам Комиссии, обеспечивает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коллегиальность в обсуждении спорных вопросов;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contextualSpacing/>
        <w:jc w:val="lef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перед началом инвентаризации подготавливает план работы, проводит инструктаж с членами Комиссии, ознакомляет членов Комиссии с материалами предыдущих инвентаризаций, ревизий и проверок;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/>
        </w:rPr>
        <w:t xml:space="preserve"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/>
        </w:rPr>
        <w:t xml:space="preserve">организует проведение итогов инвентаризации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/>
        </w:rPr>
        <w:t xml:space="preserve">Принимает решение о приостановке инвентаризации и назначает новые сроки в случаях установленных пунктом 3.5 настоящего положения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несет персональную ответственность за выполнение возложенных на Комиссию задач. 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3.2. Состав Комиссии назначается приказом руководителя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перед началом каждой инвентаризации. Комиссия должна состоять не менее чем из трех человек: председатель комиссии, заместитель председателя и секретаря.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Комиссию входят: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2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представители администрации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2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en-US"/>
        </w:rPr>
        <w:t xml:space="preserve">c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отрудник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бухгалтерии или финансового отдела РИИИ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2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специалисты других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подразделений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Инвентаризация проводится при наличии кворума (2/3 состава комиссии). Если кворума нет – председатель переносит время инвентаризации. Результаты инвентаризации, проведенной в отсутствие кворума, являются недействительными.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3.3. При проведении инвентаризации активов и обязательств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могут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созд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аваться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рабочие инвентаризационные комиссии, которые руководствуются в своей деятельности настоящим Положением. Рабочие инвентаризационные комиссии создаются с оформлением Решения о проведении инвентаризации (ф. 0510439) (далее – Решение (ф. 0510439).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Ответственным лицом рабочей комиссии указывается один из членов комиссии, имеющий право голоса при вынесении решения о результатах инвентаризации.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случае отсутствия ответственного лица рабочей комиссии по уважительной или не зависящей от него причине, возникшей после начала проведения инвентаризации, полномочия ответственного лица рабочей группы возлагаются на Председателя комиссии.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3.4. Материально ответственные лица в состав Комиссии не входят. При проверке имущества присутствие материально ответственных лиц обязательно.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3.5. Комиссия проводит инвентаризации: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внеочередные: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при передаче имущества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РИИИ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 аренду, при выкупе, продаже;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при смене материально ответственных лиц;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при выявлении фактов хищений, злоупотреблений или порчи имущества;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в случае стихийного бедствия, пожара, аварий или других чрезвычайных ситуаций, вызванных экстремальными условиями;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– при реорганизации или ликвидации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ежегодные – перед составлением годовой бухгалтерской отчетности;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3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других случаях, предусмотренных законодательством и иными нормативно-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правовыми документами.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3.6. Проведение инвентаризации имущества возможно с применением видеофиксации или фотофиксации фактического наличия или отсутствия имущества в режиме реального времени с присутствие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м отдельных членов Комиссии или членов рабочей инвентаризационной комиссии по местонахождению имущества. Комиссия проводит инвентаризацию с применением видеофиксации или фотофиксации по правилам, установленным в разделе 5 порядка проведения инвентаризации.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4. Полномочия Комиссии при проведении инвентаризации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4.1. Комиссия осуществляет полномочия: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определяет согласно порядку проведения инвентаризации методы (способы) проведения инвентаризации в отношении соответствующих объектов инвентаризации;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/>
        </w:rPr>
        <w:t xml:space="preserve">проверяет фактическое наличие активов и обязательств, сверяет их с данными бухгалтерского учета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ru-RU"/>
        </w:rPr>
        <w:t xml:space="preserve">дает оценку активам и обязательствам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val="en-US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оформляет документально результаты проведения инвентаризации;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рассматривает (в том числе с привлечением на добровольных началах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квалифицированных экспертов) материалы, представленные в ходе инвентаризации;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4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подводит итоги инвентаризации, в том числе с учетом квалификации отклонений.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 Основными задачами Комиссии (рабочей инвентаризационной комиссии) при инвентаризации является: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5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выявление фактического наличия имущества, неучтенных объектов, недостач, порчи имущества;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5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сопоставление фактического наличия имущества с данными бухгалтерского учета;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5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выявление признаков обесценения активов;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5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определение целевой функции актива и статуса объекта учета;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5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нефинансовых активов и финансовых активов на соответствие критериям актива;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5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полноты отражения в учете обязательств.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4.3. В ходе проведения инвентаризации активов и обязательств Комиссия (рабочая инвентаризационная комиссия) дополнительно определяет признаки и устанавливает: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безнадежной к взысканию дебиторской задолженности;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сомнительной задолженности неплатежеспособных дебиторов, в том числе несоответствия задолженности критериям признания ее активом;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суммы невостребованной в срок (просроченной и (или) неподтвержденной по результатам инвентаризации) кредиторской задолженности;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суммы переплат доходов (источников финансирования дефицита);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суммы дебиторской и кредиторской задолженности, подлежащие восстановлению на балансовом (забалансовом) учете в соответствии с действующим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суммы средств во временном распоряжении, которые подлежат перечислению в доход федерального бюджета, при наличии оснований, установленных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6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правовые основания, включая даты исполнения, возникновения расчетов.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5. Порядок работы комиссии и принятия решений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5.1. Комиссия при проведении инвентари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зации обеспечивает полноту и точность внесения в описи данных о фактических остатках основных средств, материальных запасов, денежных средств, другого имущества и финансовых обязательств, правильность и своевременность оформления материалов инвентаризации.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Описи в двух экземплярах подписывают все члены Комиссии и материально ответственные лица.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5.2. Инвентаризационная опись (сличительная ведомость) по объектам нефинансовых активов (ф. 0504087) применяется для отражения результатов проведенной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чреждении инвентаризации объектов нефинансовых активов.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Комиссия (рабочая инвентаризационная комиссия) обеспечивают полноту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точность внесения в инвентаризационные описи данных о фактических остатках имущества.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Инвентаризационные описи формируются ответственным сотрудником бухгалтерии.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5.3. Инвентаризация имущества проводится по его местонахождению и ответственным лицам, с которыми заключен договор о полной материальной ответственности.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инвентаризации имущества обязательно присутствие ответственного лица, с которым заключен договор о полной материальной ответственности.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5.4.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Комиссия (рабочая инвентаризационная комиссия) при проведении инвентаризации обеспечивает полноту и точность внесения в инвентаризационные описи данных о фактических остатках имущества, правильность и своевременность оформления результатов инвентаризации.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5.5. При инвентаризации объектов имущества Комиссия (рабочая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инвентаризационная комиссия) производит осмотр объектов и заносит в описи полное их наименование, инвентарные номера, проводит сверку инвентарных номеров, указанных в инвентаризационных описях с данными инвентарного номера, указанного на объекте имущества.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каждую группу и вид имущества, в том числе учитываемого на забалансовых счетах, формируются отдельные инвентаризационные описи.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Если инвентаризация имущества проводится в течение нескольких дней,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то помещения, где хранятся материальные ценности, при уходе Комиссии (рабочей инвентаризацио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нной комиссии) должны быть опечатаны. Во время перерывов в работе Комиссии(рабочей инвентаризационной комиссии) (в обеденный перерыв, в ночное время, по другим причинам) инвентаризационные описи должны храниться в ящике (шкафу, сейфе) в закрытом помещении.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исключительных случаях, когда возникает необходимость в выдаче имущества со склада в процессе инвентаризации, ответственным лицом, с которым заключен договор о пол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ной материальной ответственности может быть произведен отпуск материальных ценностей только с разрешения руководителя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(уполномоченным им лицом)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главного бухгалтера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присутствии членов Комиссии (рабочей инвентаризационной комиссии).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Статус объекта учета и целевая функция актива оформляются в инвентаризационной описи с указанием их наименования в соответствии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риказами Минфина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России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от 30.03.2015 № 52н, от 15.04.2021 № 61н.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инвентаризации зданий, сооружений, земельных участков комиссия проверяет наличие документов о закреплении права оперативного управления этими объектами, иного права владения.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5.6. При инвентаризации нематериальных активов комиссия проверяет: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7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наличие документов, подтверждающих права организации на их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использование;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7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правильность и своевременность отражения нематериальных активов в балансе.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инвентаризации прав пользования на результаты интеллектуальной деятельности комиссия проверяет наличие лицензионных договоров (лицензий), либо иных документов, подтверждающих существование права на результаты интеллектуальной деятельности.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результатам инвентаризации прав пользования на результаты интеллектуальной деятельности, в целях составления годовой бюджетной отчетности, срок их полезного испо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льзования, в том числе прав пользования на результаты интеллектуальной деятельности с неопределенным сроком полезного использования уточняется, в случае изменения факторов и (или) условий их использования, указанных в пункте 27 СГС «Нематериальные активы».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инвентаризации материальных запасов Комиссия в присутствии материально ответственного лица должна пересчитать, перевесить или перемерить имеющиеся по месту хранения материальные ценности.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Проверка фактического наличия бланков строгой отчетности производится по видам бланков с учетом начальных и конечных номеров тех или иных бланков.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5.8. При инвентаризации показателей учета на забалансовых счетах необходимо, в том числе, обеспечить сверку (установить):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8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перечня банковских гарантий, размещенных в Единой информационной системе в сфере закупок 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варов, работ, услуг с показателями забалансового счета 10 «Обеспечение исполнения обязательств», включая сверку банковских гарантий, которые не подлежат размещению в реестре банковских гарантий согласно положениям Федерального закона от 05.04.2013 № 44-ФЗ;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8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финансовых организаций, выдавших банковские гарантии с Единым государственным реестром юридических лиц, в части действующих обязательств поставщиков, подрядчиков, исполнителей;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8"/>
          <w:ilvl w:val="0"/>
        </w:numPr>
        <w:spacing w:beforeAutospacing="1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сроки исковой давности по задолженности, не востребованной кредиторами.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5.9. При инвентаризации расчетов Комиссия путем документальной проверки устанавливает: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9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правильность расчетов с банками, финансовыми, налоговыми органами,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внебюджетными фондами, другими организациями;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9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правильность и обоснованность числящейся в бухгалтерском учете суммы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задолженности по недостачам и хищениям;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9"/>
          <w:ilvl w:val="0"/>
        </w:numPr>
        <w:spacing w:beforeAutospacing="1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правильность и обоснованность сумм дебиторской и кредиторской задолженности, по которым истекли сроки исковой давности.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Результаты инвентаризации расчетов с покупателями, поставщиками, иными дебиторами и кредиторами, резервов предстоящих расходов, расходов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 доходов будущих периодов направляются: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0"/>
          <w:ilvl w:val="0"/>
        </w:numPr>
        <w:spacing w:beforeAutospacing="1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начальникам структурных подразделений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целях урегулирования дебиторской или кредиторской задолженности по государственным контрактам (договорам), в том числе не подтвержденной задолженности;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0"/>
          <w:ilvl w:val="0"/>
        </w:numPr>
        <w:spacing w:beforeAutospacing="1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главному бухгалтеру в целях отражения результатов инвентаризации в бухгалтерском учете и раскрытию информации в годовой отчетности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5.10. При инвентаризации остатков на счетах учета денежных средств показатели бухгалтерского учета сверяются с показателями, отраженными в Выписке из лицевого счета.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5.11. По итогам инвентаризации комиссия проводит заседан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ие, которое считается правомочным, если в нем приняли участие не менее двух третей от общего числа членов комиссии, имеющих право голоса. Члены комиссии при невозможности участия в заседании обязаны известить об этом секретаря комиссии до начала заседания.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отсутствии кворума на заседании председатель назначает новую дату заседания в пределах срока проведения инвентаризации.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принятии решения комиссии в случае равенства голосов, голос председателя комиссии является определяющим.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5.12. 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заседании комиссия оценивает наличие: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а) обстоятельств, указывающих на необходимость принятия решения о списании имущества – при инвентаризации нефинансовых активов. В частности, оценивает физический 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ли моральный износ, нарушения условий содержания или эксплуатации, влияние на состояние имущества аварий, стихийных бедствий, иных чрезвычайных ситуаций, длительного неиспользования имущества или иных причин, которые привели к необходимости принятия решени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 о списании имущества. Одновременно комиссия рассматривает вопрос целесообразности дальнейшего использования имущества, возможности и эффективности его восстановления, возможности использования отдельных узлов, деталей, конструкций и материалов имущества;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б) оснований для возмещения недостачи или ущерба;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в) в отношении активов – фактов несоответствия актива критериям его признания в бухгалтерском учете;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г) обстоятельств, указывающих на правомерность признания просроченной дебиторской задолженности сомнительной или безнадежной к взысканию;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д) обязательств, не востребованных в течение срока исковой давности кредитором;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е) оснований для признания в учете выявленных излишков, для выбытия недостающих объектов с учета или корректировки бухгалтерских данных при пересортице. Основания для принятия к учету выявленных излишков выясняются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 ходе проверки, целью которой является выявление причин излишков и их собственников. Такую проверку проводит инвентаризационная комиссия во время инвентаризации, либо комиссия по поступлению и выбытию активов на основании решения руководителя учреждения;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ж) оснований для обесценения, изменения стоимости объектов.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5.13. Решения принимаются простым большинством голосов от числа присутствующих на заседании членов Комиссии (рабочей инвентаризационной комиссии).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Решения и заключения комиссии оформляются в инвентаризационных описях. На разниц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у в стоимости от пересортицы в сторону недостачи, образовавшейся не по вине материально ответственных лиц, в заключениях инвентаризационной комиссии должны быть даны исчерпывающие объяснения о причинах, по которым такая разница не отнесена на виновных лиц.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Style w:val="691"/>
          <w:rFonts w:ascii="Times New Roman" w:hAnsi="Times New Roman" w:eastAsia="Times New Roman" w:cs="Times New Roman"/>
          <w:sz w:val="26"/>
          <w:szCs w:val="26"/>
        </w:rPr>
        <w:t xml:space="preserve">6. Оформление результатов инвентаризации и регулирование выявленных расхождений 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6.1. По итогам Комиссия составляет акт о результатах инвентаризации (ф. 05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10463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, в котором обобщаются результаты инвентаризации, отраженные в инвентаризационных описях. Акт пре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ставляется на рассмотрение и утверждение руководителю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В акте (ф.0510463) в разделах 2 «Результаты инвентаризации с выявленными отклонениями», 3 «Результаты выявления качественных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характеристик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» в случае выявленных отклонений указывается заключение Комиссии по каждому случаю выявленных отклонений, принятое Решение Комиссии по каждому случаю выявленных отклонений.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Акт ( </w:t>
      </w:r>
      <w:r>
        <w:rPr>
          <w:rFonts w:ascii="Times New Roman" w:hAnsi="Times New Roman" w:eastAsia="Times New Roman" w:cs="Times New Roman"/>
          <w:sz w:val="26"/>
          <w:szCs w:val="26"/>
          <w:lang w:val="ru-RU"/>
        </w:rPr>
        <w:t xml:space="preserve">ф.0510463) подписывается членами Комиссии простой ЭП, председателем Комиссии КЭП.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6.2. По всем недостачам, излишкам, порчи имущества Комиссия (рабочая инвентаризационная комиссия) получает письменные объяснения от ответственных лиц, с которыми заключен догово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 о полной материальной ответственности. Они должны быть отражены в инвентаризационных описях (актах).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Письменные объяснения направляются председателем Комиссии (рабочей инвентаризационной комиссией) руководителю Учреждения.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6.3. В случае выявлени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я излишков имущества инвентаризационная комиссия инициирует проверку, целью которой является выявление причин излишков и их собственников. Такую проверку проводит инвентаризационная комиссия во время инвентаризации. Если силами инвентаризационной комиссии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провести такую проверку невозможно, председатель комиссии уведомляет об этом руководителя учреждения в служебной записке, на основании которой руководитель выносит решение проведении проверки вне инвентаризации – комиссией по поступлению и выбытию активов.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6.4. По результатам инвентаризации председатель Комиссии подготавливает руководителю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 РИИИ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предложения: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отнесению недостач имущества, а также имущества, пришедшего в негодность, за счет виновных лиц либо по их списанию;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оприходованию излишков;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списанию нереальной к взысканию дебиторской и невостребованной кредиторской задолженности;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1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оптимизации приема, хранения и отпуска материальных ценностей;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1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другие предложения.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7. Права Комиссии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7.1. Комиссия имеет право: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2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получать от структурных подразделений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документы, необходимые для выполнения Комиссией своих задач;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2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требовать создания условий, обеспечивающих полную и точную проверку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фактического наличия имущества;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2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опечатать складские и другие служебные помещения при уходе членов Комиссии, если инвентаризация проводится в течение нескольких дней.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8. Ответственность Комиссии 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8.1. Комиссия несет ответственность: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 полноту и точность внесения в инвентаризационные описи (сличительные</w:t>
      </w:r>
      <w:r>
        <w:rPr>
          <w:rFonts w:ascii="Times New Roman" w:hAnsi="Times New Roman" w:eastAsia="Times New Roman" w:cs="Times New Roman"/>
          <w:sz w:val="26"/>
          <w:szCs w:val="26"/>
        </w:rPr>
        <w:br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ведомости) данных о фактическом наличии (об остатках) объектов инвентаризации;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 правильность указания в инвентаризационных описях (сличительных ведомостях) признаков нефинансовых и финансовых активов (наименование, тип, марка и другие признаки);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3"/>
          <w:ilvl w:val="0"/>
        </w:numPr>
        <w:spacing w:beforeAutospacing="1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 сокрытие выявленных нарушений;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numPr>
          <w:numId w:val="13"/>
          <w:ilvl w:val="0"/>
        </w:numPr>
        <w:spacing w:beforeAutospacing="1" w:afterAutospacing="1" w:line="240" w:lineRule="auto"/>
        <w:ind w:left="780" w:right="18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 правильность и своевременность оформления результатов инвентаризации. 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690"/>
        <w:jc w:val="center"/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52525"/>
          <w:spacing w:val="-2"/>
          <w:sz w:val="26"/>
          <w:szCs w:val="26"/>
        </w:rPr>
        <w:t xml:space="preserve">9. Заключительные положения</w:t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252525"/>
          <w:spacing w:val="-2"/>
          <w:sz w:val="26"/>
          <w:szCs w:val="26"/>
        </w:rPr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9.1. Все изменения и дополнения к настоящему положению утверждаются руководителем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.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</w:r>
      <w:r>
        <w:rPr>
          <w:rFonts w:hint="default"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9.2. Если в результате изменения действующего законодательства 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России.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9.3. Хранение документов по результатам инвентаризации осуществляется бухгалтерией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val="ru-RU"/>
        </w:rPr>
        <w:t xml:space="preserve">РИИИ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sectPr>
      <w:footerReference w:type="default" r:id="rId9"/>
      <w:footnotePr/>
      <w:endnotePr/>
      <w:type w:val="nextPage"/>
      <w:pgSz w:w="11907" w:h="16839" w:orient="portrait"/>
      <w:pgMar w:top="1157" w:right="687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center"/>
    </w:pPr>
    <w:r>
      <w:rPr>
        <w:highlight w:val="none"/>
      </w:rPr>
    </w:r>
    <w:r>
      <w:rPr>
        <w:highlight w:val="none"/>
      </w:rPr>
    </w:r>
  </w:p>
  <w:p>
    <w:pPr>
      <w:pStyle w:val="710"/>
      <w:jc w:val="center"/>
      <w:rPr>
        <w:highlight w:val="none"/>
      </w:rPr>
    </w:pPr>
    <w:fldSimple w:instr="PAGE \* MERGEFORMAT">
      <w:r>
        <w:t xml:space="preserve">1</w:t>
      </w:r>
    </w:fldSimple>
    <w:r>
      <w:rPr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left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left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left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left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left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left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left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left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left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2"/>
    <w:basedOn w:val="858"/>
    <w:next w:val="858"/>
    <w:link w:val="68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60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60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60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60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60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60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60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60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ind w:left="720"/>
      <w:contextualSpacing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1">
    <w:name w:val="Title Char"/>
    <w:basedOn w:val="860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0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>
    <w:name w:val="Header Char"/>
    <w:basedOn w:val="860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1">
    <w:name w:val="Footer Char"/>
    <w:basedOn w:val="860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60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60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spacing w:after="57"/>
      <w:ind w:left="0" w:right="0" w:firstLine="0"/>
    </w:pPr>
  </w:style>
  <w:style w:type="paragraph" w:styleId="848">
    <w:name w:val="toc 2"/>
    <w:basedOn w:val="858"/>
    <w:next w:val="858"/>
    <w:uiPriority w:val="39"/>
    <w:unhideWhenUsed/>
    <w:pPr>
      <w:spacing w:after="57"/>
      <w:ind w:left="283" w:right="0" w:firstLine="0"/>
    </w:pPr>
  </w:style>
  <w:style w:type="paragraph" w:styleId="849">
    <w:name w:val="toc 3"/>
    <w:basedOn w:val="858"/>
    <w:next w:val="858"/>
    <w:uiPriority w:val="39"/>
    <w:unhideWhenUsed/>
    <w:pPr>
      <w:spacing w:after="57"/>
      <w:ind w:left="567" w:right="0" w:firstLine="0"/>
    </w:pPr>
  </w:style>
  <w:style w:type="paragraph" w:styleId="850">
    <w:name w:val="toc 4"/>
    <w:basedOn w:val="858"/>
    <w:next w:val="858"/>
    <w:uiPriority w:val="39"/>
    <w:unhideWhenUsed/>
    <w:pPr>
      <w:spacing w:after="57"/>
      <w:ind w:left="850" w:right="0" w:firstLine="0"/>
    </w:pPr>
  </w:style>
  <w:style w:type="paragraph" w:styleId="851">
    <w:name w:val="toc 5"/>
    <w:basedOn w:val="858"/>
    <w:next w:val="858"/>
    <w:uiPriority w:val="39"/>
    <w:unhideWhenUsed/>
    <w:pPr>
      <w:spacing w:after="57"/>
      <w:ind w:left="1134" w:right="0" w:firstLine="0"/>
    </w:pPr>
  </w:style>
  <w:style w:type="paragraph" w:styleId="852">
    <w:name w:val="toc 6"/>
    <w:basedOn w:val="858"/>
    <w:next w:val="858"/>
    <w:uiPriority w:val="39"/>
    <w:unhideWhenUsed/>
    <w:pPr>
      <w:spacing w:after="57"/>
      <w:ind w:left="1417" w:right="0" w:firstLine="0"/>
    </w:pPr>
  </w:style>
  <w:style w:type="paragraph" w:styleId="853">
    <w:name w:val="toc 7"/>
    <w:basedOn w:val="858"/>
    <w:next w:val="858"/>
    <w:uiPriority w:val="39"/>
    <w:unhideWhenUsed/>
    <w:pPr>
      <w:spacing w:after="57"/>
      <w:ind w:left="1701" w:right="0" w:firstLine="0"/>
    </w:pPr>
  </w:style>
  <w:style w:type="paragraph" w:styleId="854">
    <w:name w:val="toc 8"/>
    <w:basedOn w:val="858"/>
    <w:next w:val="858"/>
    <w:uiPriority w:val="39"/>
    <w:unhideWhenUsed/>
    <w:pPr>
      <w:spacing w:after="57"/>
      <w:ind w:left="1984" w:right="0" w:firstLine="0"/>
    </w:pPr>
  </w:style>
  <w:style w:type="paragraph" w:styleId="855">
    <w:name w:val="toc 9"/>
    <w:basedOn w:val="858"/>
    <w:next w:val="858"/>
    <w:uiPriority w:val="39"/>
    <w:unhideWhenUsed/>
    <w:pPr>
      <w:spacing w:after="57"/>
      <w:ind w:left="2268" w:right="0" w:firstLine="0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uiPriority w:val="0"/>
    <w:qFormat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859">
    <w:name w:val="Heading 1"/>
    <w:basedOn w:val="858"/>
    <w:next w:val="858"/>
    <w:link w:val="862"/>
    <w:uiPriority w:val="9"/>
    <w:qFormat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styleId="860" w:default="1">
    <w:name w:val="Default Paragraph Font"/>
    <w:uiPriority w:val="1"/>
    <w:semiHidden/>
    <w:unhideWhenUsed/>
    <w:qFormat/>
  </w:style>
  <w:style w:type="table" w:styleId="86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62" w:customStyle="1">
    <w:name w:val="Heading 1 Char"/>
    <w:basedOn w:val="860"/>
    <w:link w:val="859"/>
    <w:uiPriority w:val="9"/>
    <w:qFormat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numbering" w:styleId="86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revision>7</cp:revision>
  <dcterms:created xsi:type="dcterms:W3CDTF">2011-11-02T04:15:00Z</dcterms:created>
  <dcterms:modified xsi:type="dcterms:W3CDTF">2024-06-28T11:49:32Z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7C0A294811B44F948ED335FD9AB7177F_13</vt:lpwstr>
  </property>
</Properties>
</file>