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uppressLineNumbers w:val="0"/>
        <w:contextualSpacing w:val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Федерально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государствен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/>
        </w:rPr>
        <w:t xml:space="preserve">ное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бюджетно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научно-исследовательско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учреждени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/>
        </w:rPr>
        <w:t xml:space="preserve">е</w:t>
        <w:br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Российский институт истории искусств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pStyle w:val="841"/>
        <w:ind w:left="5386" w:right="0" w:firstLine="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color w:val="000000" w:themeColor="text1"/>
          <w:sz w:val="26"/>
          <w:szCs w:val="26"/>
          <w:highlight w:val="none"/>
          <w:lang w:val="ru-RU"/>
        </w:rPr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</w:r>
    </w:p>
    <w:p>
      <w:pPr>
        <w:pStyle w:val="841"/>
        <w:ind w:left="5386" w:right="0" w:firstLine="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color w:val="000000" w:themeColor="text1"/>
          <w:sz w:val="26"/>
          <w:szCs w:val="26"/>
          <w:lang w:val="ru-RU"/>
        </w:rPr>
        <w:t xml:space="preserve">Утверждено</w:t>
        <w:br/>
      </w:r>
      <w:r>
        <w:rPr>
          <w:rFonts w:hint="default" w:ascii="Times New Roman" w:hAnsi="Times New Roman" w:eastAsia="Times New Roman" w:cs="Times New Roman"/>
          <w:b w:val="0"/>
          <w:color w:val="000000" w:themeColor="text1"/>
          <w:sz w:val="26"/>
          <w:szCs w:val="26"/>
          <w:lang w:val="ru-RU"/>
        </w:rPr>
        <w:t xml:space="preserve">приказом РИИИ № 17-п от 28.06.2024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</w:r>
    </w:p>
    <w:p>
      <w:pPr>
        <w:pStyle w:val="664"/>
        <w:jc w:val="center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eastAsia="Times New Roman" w:cs="Times New Roman"/>
          <w:color w:val="222222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222222"/>
          <w:sz w:val="26"/>
          <w:szCs w:val="26"/>
          <w:highlight w:val="none"/>
        </w:rPr>
      </w:r>
    </w:p>
    <w:p>
      <w:pPr>
        <w:pStyle w:val="664"/>
        <w:jc w:val="center"/>
        <w:rPr>
          <w:rFonts w:ascii="Times New Roman" w:hAnsi="Times New Roman" w:eastAsia="Times New Roman" w:cs="Times New Roman"/>
          <w:b/>
          <w:bCs/>
          <w:color w:val="222222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6"/>
          <w:szCs w:val="26"/>
        </w:rPr>
        <w:t xml:space="preserve">Порядок проведения инвентаризации активов и обязательств</w:t>
      </w:r>
      <w:r>
        <w:rPr>
          <w:rFonts w:ascii="Times New Roman" w:hAnsi="Times New Roman" w:eastAsia="Times New Roman" w:cs="Times New Roman"/>
          <w:b/>
          <w:bCs/>
          <w:color w:val="222222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6"/>
          <w:szCs w:val="26"/>
          <w:highlight w:val="none"/>
        </w:rPr>
      </w:r>
    </w:p>
    <w:p/>
    <w:p>
      <w:pPr>
        <w:spacing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Настоящий Порядок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проведения инвентаризации активов и обязательств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разработан в соответствии со следующими документами: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pStyle w:val="680"/>
        <w:numPr>
          <w:numId w:val="5"/>
          <w:ilvl w:val="0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Законом от 06.12.2011 № 402-ФЗ «О бухгалтерском учете»;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80"/>
        <w:numPr>
          <w:numId w:val="5"/>
          <w:ilvl w:val="0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80"/>
        <w:numPr>
          <w:numId w:val="5"/>
          <w:ilvl w:val="0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Федеральным стандартом «Доходы», утвержденным приказом Минфина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России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от 27.02.2018 32н;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80"/>
        <w:numPr>
          <w:numId w:val="5"/>
          <w:ilvl w:val="0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Федеральным стандартом «Учетная политика, оценочные значения и ошибки», утвержденным приказом Минфина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России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от 30.12.2017 № 274н;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80"/>
        <w:numPr>
          <w:numId w:val="5"/>
          <w:ilvl w:val="0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казанием Б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анка России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от 11.03.2014 № 3210-У «О порядке ведения кассовых операций юридическими лицами...»;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80"/>
        <w:numPr>
          <w:numId w:val="5"/>
          <w:ilvl w:val="0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Методическими указаниями по первичным документам и регистрам, утвержденными приказом Минфина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России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от 30.03.2015 № 52н;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80"/>
        <w:numPr>
          <w:numId w:val="5"/>
          <w:ilvl w:val="0"/>
        </w:numPr>
        <w:spacing w:beforeAutospacing="1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Методическими указаниями по первичным документам и регистрам, утвержденными приказом Минфина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России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от 15.04.2021 № 61н;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80"/>
        <w:numPr>
          <w:numId w:val="5"/>
          <w:ilvl w:val="0"/>
        </w:numPr>
        <w:spacing w:beforeAutospacing="1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Правилами учета и хранения драгоценных металлов, камней и изделий, утвержденными постановлением Правительства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РФ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от 28.09.2000 № 731.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</w:rPr>
        <w:t xml:space="preserve">1. Общие положения</w:t>
      </w: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1.1.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Настоящий Порядок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проведения инвентаризации активов и обязательств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устанавливает правила проведения инвентаризации имущества, финансо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вых активов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и обязательств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Федерально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государствен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ного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бюджетно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научно-исследовательско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учреждени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Российский институт истории искусств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(далее - Порядок, учреждение)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в том числе на забалансовых счетах, сроки ее проведения, переч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ень активов и обязательств, проверяемых при проведении инвентаризации.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1.2. Инвентаризации подлежит все имущество учреждения независимо от его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местонахождения и все виды финансовых активов и обязательств учреждения, в том числе  на забалансовых счетах. Также инвентаризации подлежит имущество, находящееся на ответственном хранении учреждения.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Инвентаризация имущества производится по его местонахождению и в разрезе ответственных (материально ответственных) лиц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(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далее – ответственные лица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1.3. Учреждение проводит инвентаризацию: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2"/>
          <w:ilvl w:val="0"/>
        </w:numPr>
        <w:spacing w:beforeAutospacing="1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случаях, установленных в пунктах 31 и 32 приложения № 1 к СГС «Учетная политика, оценочные значения и ошибки» – обязательная инвентаризация;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2"/>
          <w:ilvl w:val="0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других случаях по решению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руководителя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(ф. 0510439).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Ответственные лица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чреждения, с которыми заключен договор о полной матери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альной ответственности, обязаны инициировать проведение инвентаризации имущества в случаях, когда законодательством Российской Федерации предусмотрено обязательное ее проведение, путем направления служебной записки председателю инвентаризационной комиссии.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1.5. Имущество, которое поступило во время инвентар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1.6. Инвентаризация проводится методами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: 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смотра, подсчета, взвешивания,  обмера (далее – методы осмотра).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 случаях, когда применение методов 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мотра для выявления фактического наличия объектов инвентаризации невозможно или не представляется возможным без существенных затрат,  учреждение использует альтернативные способы (методы) инвентаризации (далее – методы подтверждения, выверки (интеграции)):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1) видеофиксация и фотофиксация;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2) фиксация (актирование), в том числе: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3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факта осуществления объектом соответствующей функции;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3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поступления экономических выгод;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3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использования полезного потенциала;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3"/>
          <w:ilvl w:val="0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</w:rPr>
        <w:t xml:space="preserve">2. Общий порядок и сроки проведения инвентаризации</w:t>
      </w: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2.1. Для проведения инвентаризации в учреждении создается постоянно действующая инвентаризационная комиссия.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 большом объеме работ для одновременного проведения инвентаризации имущества создаются рабочие инвентаризационные комиссии. Персональный состав постоянно действующих и рабочих инвентаризационных комиссий утверждает руководитель учреждения.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состав инвентаризационной комиссии включают представителей администрации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учреждения, сотрудников бухгалтерии, других специалистов.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2.2. Инвентаризационная комиссия выполняет следующие функции: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проверка фактического наличия имущества, как собственного, так и не принадлежащего учреждению, но числящегося в бухгалтерском учете;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проверка соблюдения правил содержания и эксплуатации основных средств, использования нематериальных активов, а также правил и условий хранения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материальных запасов, денежных средств;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определение состояния имущества и его назначения;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выявление признаков обесценения активов;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сопоставление данных бухгалтерского учета с фактическим наличием имущества, с выписками из счетов, с данными актов сверок;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проверка правильности расчета и обоснованности создания резервов, достоверности расходов будущих периодов;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проверка документации на активы и обязательства;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выявление дебиторской задолженности, безнадежной к взысканию и сомнительной, подготовка предложений о списании такой задолженности;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выявление кредиторской задолженности, не востребованной кредиторами, подготовка предложений о списании такой задолженности;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составление инвентаризационных описей, в которых указываются все объекты инвентаризации, их количество, статус и целевая функция;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составление ведомости по расхождениям, если они обнаружены, а также выявление причин таких отклонений;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оформление протоколов заседания инвентаризационной комиссии;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подготовка предложений по изменению учета и устранению обстоятельств, которые повлекли неточности и ошибки.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hd w:val="ni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Комиссия оценивает наличие: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а) обстоятельств, указывающих на необходимость принятия решения о списании имущества – при инвентаризации нефинансовых активов. В частности, оценивает физический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ли 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я о списании имущества. Одновременно комиссия 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б) оснований для возмещения недостачи или ущерба;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в) в отношении активов – фактов несоответствия актива критериям его признания в бухгалтерском учете;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д) обязательств, не востребованных в течение срока исковой давности кредитором;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е) оснований для признания в учете выявленных излишков, для выбытия недостающих объектов с учета или корректировки бухгалтерских данных при пересортице. Основания для принятия к учету выявленных излишков выясняются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решения руководителя учреждения;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ж) оснований для обесценения, изменения стоимости объектов.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Детальные правила работы комиссии, ее права, ответственность и полномочия устанавливаются в отдельном локальном акте – положении об инвентаризационной комиссии.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2.3. Инвентаризации подлежит имущество учреждения, вложения в него на счете 106.00 «Вложения в нефинансовые активы», а также следующие финансовые активы, обязательства и финансовые результаты: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денежные средства – счет Х.201.00.000;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расчеты по доходам – счет Х.205.00.000;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расчеты по выданным авансам – счет Х.206.00.000;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расчеты с подотчетными лицами – счет Х.208.00.000;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расчеты по ущербу имуществу и иным доходам – счет Х.209.00.000;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расчеты по принятым обязательствам – счет Х.302.00.000;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расчеты по платежам в бюджеты – счет Х.303.00.000;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прочие расчеты с кредиторами – счет Х.304.00.000;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расчеты с кредиторами по долговым обязательствам – счет Х.301.00.000;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доходы будущих периодов – счет Х.401.40.000;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расходы будущих периодов – счет Х.401.50.000;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резервы предстоящих расходов – счет Х.401.60.000.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2.4. Сроки проведения плановых инвентаризаций установлены в Графике проведения инвентаризации.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Кроме плановых инвентаризаций, учреждение может проводить внеплановые сплошные и выборочные инвентаризации товарно-материальных ценностей. Внеплановые инвентаризации проводятся на основании Решения о проведении инвентаризации (ф. 0510439).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2.5. До начала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роверки фактического наличия имущества инвентаризационной комиссии надлежит получить приходные и расходные документы или отчеты о движении материальных ценностей и денежных средств, не сданные и не учтенные бухгалтерией на момент проведения инвентаризации.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2.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 Фактическое наличие имущества при инвентаризации определяют путем осмотра, подсчета, взвешивания, обмера. Вес и объем навалочных и наливных материальных ценностей проверяется путем обмеров, замеров и технических расчетов.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Инвентаризация материальных ценностей, которые хранятся в неповрежденной 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– 10 процентов от общего количества. Остальной подсчет ведется на основании данных производителя.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Инвентаризация камер видеонаблюдения проводится путем фиксации выполнения функций объекта – поступления сигналов и совершения видеозаписей.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2.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 Проверка фактического наличия имущества производится при обязательном участии ответственных лиц.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2.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 Для оформления инвентаризации комиссия применяет формы,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утвержденные приказами Минфина от 30.03.2015 № 52н и от 15.04.2021 № 61н: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 решение о проведении инвентаризации (ф. 0510439);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изменение Решения о проведении инвентаризации (ф. 0510447);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  инвентаризационная опись остатков на счетах учета денежных средств (ф. 0504082);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инвентаризационная опись (сличительная ведомость) бланков строгой отчетности и денежных документов (ф. 0504086);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инвентаризационная опис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ь (сличительная ведомость) по объектам нефинансовых активов (ф. 0504087). По объектам, переданным в аренду, безвозмездное пользование, а также полученным в аренду, безвозмездное пользование и по другим основаниям, составляются отдельные описи (ф. 0504087);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инвентаризационная опись расчетов с покупателями, поставщиками и прочими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дебиторами и кредиторами (ф. 0504089);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инвентаризационная опись расчетов по поступлениям (ф. 0504091);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ведомость расхождений по результатам инвентаризации (ф. 0504092);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акт о результатах инвентаризации (ф. 0510463);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Для результатов инвентаризации расходов будущих периодов применяется акт инвентаризации расходов будущих периодов № ИНВ-11 (ф. 0317012), утвержденный  приказом Госкомстата от 18.08.1998 № 88.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2.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 Инвентаризационная комиссия обеспечивает полноту и точность внесения в описи данных о фактических остатках основных средств, нематериальных акти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вов, материальных запасов и другого имущества, денежных средств, финансовых активов и обязательств, правильность и своевременность оформления материалов инвентаризации. Также комиссия обеспечивает внесение в описи обнаруженных признаков обесценения актива.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2.1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 Если инвентаризация проводится в течение нескольких дней, то помещения, где хранятся материальные ценности, при уходе инвента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ризационной комиссии должны быть опечатаны. Во время перерывов в работе инвентаризационных комиссий (в обеденный перерыв, в ночное время, по другим причинам) описи должны храниться в ящике (шкафу, сейфе) в закрытом помещении, где проводится инвентаризация.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2.1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 Если ответственные лица обнаружат после инвентаризации ошибки в описях, они должны немедленно (до открытия склада, кладовой, секции и т. п.) заявить об этом председателю инвентаризационной комиссии.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Инвентаризационная комиссия осуществляет проверку указанных фактов и в случае их подтверждения производит исправление выявленных ошибок в установленном порядке.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</w:rPr>
        <w:t xml:space="preserve">3. Особенности инвентаризации отдельных видов имущества, финансовых активов, обязательств и финансовых результатов</w:t>
      </w: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3.1. Инвентаризация основных средств проводится один раз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три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г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ода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перед составлением годовой бухгалтерской отчетности. Исключение – объекты библиотечного фонда, сроки и порядок инвентаризации которых изложены в пункте 3.2 настоящего Положения.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Инвентаризации подлежат основные средства на балансовых счетах 101.00 «Основные средства», а также имущество на забалансовых счетах 01 «Имущество, полученное в пользование», 02 «Материальные ценности на хранении»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, 21 «Основные средства в эксплуатации»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Основные средства, которые временно отсутствуют (находятся у подрядчика на ремонте, у сотрудников в командировке и т. д.), инвентаризируются по документам и регистрам до момента выбытия.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Перед инвентаризацией комиссия проверяет: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есть ли инвентарные карточки, книги и описи на основные средства, как они заполнены;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состояние техпаспортов и других технических документов;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документы о государственной регистрации объектов;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документы на основные средства, которые приняли или сдали на хранение и в аренду.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ходе инвентаризации комиссия проверяет: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фактическое наличие объектов основных средств, эксплуатируются ли они по назначению;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физическое состояние объектов основных средств: рабочее, поломка, износ, порча и т. д.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Данные об эксплуатации и физическом состоянии комиссия указывает в инвентаризационной описи (ф. 0504087). Графы 8 и 9 инвентаризационной описи по НФА комиссия заполняет следующим образом.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графе 8 «Статус объекта учета» указываются коды статусов: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11 – в эксплуатации;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12 – требуется ремонт;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13 – находится на консервации;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14 – требуется модернизация;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15 – требуется реконструкция;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16 – не соответствует требованиям эксплуатации;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17 – не введен в эксплуатацию.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графе 9 «Целевая функция актива» указываются коды функции: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11 – продолжить эксплуатацию;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12 – ремонт;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13 – консервация;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14 – модернизация, дооснащение (дооборудование);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15 – реконструкция;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16 – списание;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17 – утилизация.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3.3. Инвентаризация библиотечных фондов проводится при смене руководителя библиотеки, а также в следующие сроки: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редчайшие и ценные фонды – один раз в три года;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остальные фонды – один раз в пять лет.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 инвентаризации библиотечного фонда комиссия проверяет книги путем подсчета, электронные документы – по количественным показателям и контрольным суммам.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 При инвентаризации нематериальных активов комиссия проверяет: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есть ли свидетельства, патенты и лицензионные договоры, которые подтверждают исключительные права учреждения на активы;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учтены ли активы на балансе и нет ли ошибок в учете.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Результаты инвентаризации заносятся в инвентаризационную опись (ф. 0504087).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Графы 8 и 9 инвентаризационной описи по НФА комиссия заполняет следующим образом.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графе 8 «Статус объекта учета» указываются коды статусов: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11 – в эксплуатации;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14 – требуется модернизация;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16 – не соответствует требованиям эксплуатации;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17 – не введен в эксплуатацию.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графе 9 «Целевая функция актива» указываются коды функции: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11 – продолжить эксплуатацию;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14 – модернизация, дооснащение (дооборудование);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16 – списание.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 Материальные запасы комиссия проверяет по 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аждому ответственному лицу и по местам хранения. При инвентаризации материальных запасов, которых нет в учреждении (в пути, отгруженные, не оплачены в срок, на складах других организаций), проверяется обоснованность сумм на соответствующих счетах бухучета.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Отдельные инвентаризационные описи (ф. 0504087) составляются на материальные запасы, которые: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находятся в учреждении и распределены по ответственным лицам;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Результаты инвентаризации комиссия отражает в инвентаризационной описи (ф. 0504087).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Графы 8 и 9 инвентаризационной описи по НФА комиссия заполняет следующим образом.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графе 8 «Статус объекта учета» указываются коды статусов: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51 – в запасе для использования;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52 – в запасе для хранения;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53 – ненадлежащего качества;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54 – поврежден;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55 – истек срок хранения.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графе 9 «Целевая функция актива» указываются коды функции: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51 – использовать;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52 – продолжить хранение;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53 – списать;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54 – отремонтировать.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 При инвентаризации денежных средств на лицевых и банковских счетах комиссия сверяет остатки на счетах 201.11, 201.21, 201.22, 201.26, 201.27 с выписками из лицевых и банковских счетов.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Если в бухучете числятся остатки по средствам в пути (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счета 201.13, 201.23), комиссия сверяет остатки с данными подтверждающих документов – банковскими квитанциями, квитанциями почтового отделения, копиями сопроводительных ведомостей на сдачу выручки инкассаторам, слипами (чеками платежных терминалов) и т. п.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Результаты инвентаризации комиссия отражает в инвентаризационной описи (ф. 0504082).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 Инвентаризацию расчетов с дебиторами и кредиторами комиссия проводит методом подтверждения, выверки (интеграции) с учетом следующих особенностей: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определяет сроки возникновения задолженности;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выявляет суммы невыплаченной зарплаты (депонированные суммы), а также переплаты сотрудникам;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сверяет данные бухучета с суммами в актах сверки с покупателями (заказчиками) и поставщиками (исполнителями, подрядчиками), а также с бюджетом и внебюджетными фондами – по налогам и взносам;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проверяет обоснованность задолженности по недостачам, хищениям и ущербам;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выявляет кредиторскую задолженность, не востребованную кредиторами, а также дебиторскую задолженность, безнадежную к взысканию и сомнительную в соответствии с положением о задолженности.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случае ведения бухгалтерского учета по группе плательщиков (кредиторов), инвентаризация проводится путем сверки персонифицированных данных управленческого учета, к составу аналитических признаков задолженности и данных на балансо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вых счетах по соответствующим группам плательщиков (кредиторов). Информация о 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Результаты инвентаризации комиссия отражает в инвентаризационной описи (ф. 0504089).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3.11. При инвентаризации расходов будущих периодов комиссия проверяет: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суммы расходов из документов, подтверждающих расходы будущих периодов, – счетов, актов, договоров, накладных;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соответствие периода учета расходов периоду, который установлен в учетной политике;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правильность сумм, списываемых на расходы текущего года.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Результаты инвентаризации комиссия отражает в акте инвентаризации расходов будущих периодов (ф. 0317012).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3.12.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 правильность их расчета и обоснованность создания.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части резерва на оплату отпусков проверяются: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количество дней неиспользованного отпуска;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среднедневная сумма расходов на оплату труда;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сумма отчислений на обязательное пенсионное, социальное, медицинское страхование и на страхование от несчастных случаев и профзаболеваний.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Результаты инвентаризации комиссия отражает в акте инвентаризации резервов, которого утверждена в учетной политике учреждения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3.13. При инвентаризации доходов будущих периодов комиссия проверяет правомерность отнесения полученных доходов к доходам будущих периодов. К доходам будущих периодов относятся в том числе: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доходы от аренды;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суммы субсидии на финансовое обеспечение государственного задания по соглашению, которое подписано в текущем году на будущий год.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 наличия остатков.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</w:rPr>
        <w:t xml:space="preserve">4. Оформление результатов инвентаризации</w:t>
      </w: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4.1. Правильно оформленные инвентаризационной комиссией и подписанные всеми ее членами и ответственными лицами инвен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таризационные описи (сличительные ведомости), акты о результатах инвентаризации передаются в бухгалтерию для выверки данных фактического наличия имущественно-материальных и других ценностей, финансовых активов и обязательств с данными бухгалтерского учета.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4.2. Выявленные расхождения в инвентаризационных описях (сличительных ведомостях) обобщаютс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я в ведомости расхождений по результатам инвентаризации (ф. 0504092). В этом случае она будет приложением к акту о результатах инвентаризации (ф. 0504835). Акт подписывается всеми членами инвентаризационной комиссии и утверждается руководителем учреждения.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4.3. После завершения инвентаризации выявленные расхождения (неучтенные объекты, недостачи) должны быть отражены в бухгалтерском учете, а при необходимости материалы направлены в судебные органы для предъявления гражданского иска.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4.4. Результаты инвентаризации отражаются в бухгалтерском учете и отчетности того месяца, в котором была закончена инвентаризация, а по годовой инвентаризации – в годовом бухгалтерском отчете.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4.5. На суммы выявленных излишков, недостач основных средств, нематериальных активов, материальных запасов инвентаризационная комиссия требует объяснение с ответственного лица по причинам расхожд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ений с данными бухгалтерского учета. 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 комиссии.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Основание: подпункт «б» пункта 24 приложения № 1 к СГС «Учетная политика, оценочные значения и ошибки».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</w:rPr>
        <w:t xml:space="preserve">6. График проведения инвентаризации</w:t>
      </w: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Инвентаризация проводится со следующей периодичностью и в сроки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tbl>
      <w:tblPr>
        <w:tblStyle w:val="843"/>
        <w:tblW w:w="9027" w:type="dxa"/>
        <w:tblInd w:w="0" w:type="dxa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24"/>
        <w:gridCol w:w="2888"/>
        <w:gridCol w:w="2978"/>
        <w:gridCol w:w="2437"/>
      </w:tblGrid>
      <w:tr>
        <w:trPr>
          <w:trHeight w:val="0"/>
        </w:trPr>
        <w:tblPrEx/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Наименование объектов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инвентаризации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Сроки проведения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инвентаризации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Период проведения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инвентаризации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trHeight w:val="0"/>
        </w:trPr>
        <w:tblPrEx/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Нефинансовые активы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(основные средства,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материальные запасы,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нематериальные активы)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на 1 декабря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 xml:space="preserve">3 года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</w:r>
          </w:p>
        </w:tc>
      </w:tr>
      <w:tr>
        <w:trPr>
          <w:trHeight w:val="0"/>
        </w:trPr>
        <w:tblPrEx/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Финансовые активы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(финансовые вложения,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денежные средства 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счетах)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на 1 декабря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од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rPr>
          <w:trHeight w:val="0"/>
        </w:trPr>
        <w:tblPrEx/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Дебиторская и кредиторская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задолженность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Два раза в год: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– на 1 октября – для выявления безнадежной и сомнительной задолженности в целях списания с балансового учета;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– на 1 января – для подтверждения данных о задолженности в годовой отчетности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0"/>
        </w:trPr>
        <w:tblPrEx/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Внезапные инвентаризации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всех видов имущества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75" w:type="dxa"/>
              <w:top w:w="75" w:type="dxa"/>
              <w:right w:w="75" w:type="dxa"/>
              <w:bottom w:w="75" w:type="dxa"/>
            </w:tcMar>
            <w:textDirection w:val="lrTb"/>
            <w:vAlign w:val="top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При необходимости в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соответствии с 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Решением о проведении инвентаризации (ф. 0510439)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sectPr>
      <w:headerReference w:type="default" r:id="rId9"/>
      <w:footerReference w:type="default" r:id="rId10"/>
      <w:footnotePr/>
      <w:endnotePr/>
      <w:type w:val="nextPage"/>
      <w:pgSz w:w="11907" w:h="16839" w:orient="portrait"/>
      <w:pgMar w:top="1440" w:right="829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center"/>
    </w:pPr>
    <w:fldSimple w:instr="PAGE \* MERGEFORMAT">
      <w:r>
        <w:t xml:space="preserve"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</w:p>
  </w:footnote>
  <w:footnote w:type="continuationSeparator" w:id="0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left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left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left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left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left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left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left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left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left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left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left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left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left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left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left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left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left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left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left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left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left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left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left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left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left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left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left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left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left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left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left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left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left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left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left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left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2"/>
    <w:basedOn w:val="840"/>
    <w:next w:val="840"/>
    <w:link w:val="66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42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42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42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42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42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42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42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42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ind w:left="720"/>
      <w:contextualSpacing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83">
    <w:name w:val="Title Char"/>
    <w:basedOn w:val="842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42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1">
    <w:name w:val="Header Char"/>
    <w:basedOn w:val="842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3">
    <w:name w:val="Footer Char"/>
    <w:basedOn w:val="842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32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33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34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35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36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7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8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6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7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8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9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0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1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2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2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2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spacing w:after="57"/>
      <w:ind w:left="0" w:right="0" w:firstLine="0"/>
    </w:pPr>
  </w:style>
  <w:style w:type="paragraph" w:styleId="830">
    <w:name w:val="toc 2"/>
    <w:basedOn w:val="840"/>
    <w:next w:val="840"/>
    <w:uiPriority w:val="39"/>
    <w:unhideWhenUsed/>
    <w:pPr>
      <w:spacing w:after="57"/>
      <w:ind w:left="283" w:right="0" w:firstLine="0"/>
    </w:pPr>
  </w:style>
  <w:style w:type="paragraph" w:styleId="831">
    <w:name w:val="toc 3"/>
    <w:basedOn w:val="840"/>
    <w:next w:val="840"/>
    <w:uiPriority w:val="39"/>
    <w:unhideWhenUsed/>
    <w:pPr>
      <w:spacing w:after="57"/>
      <w:ind w:left="567" w:right="0" w:firstLine="0"/>
    </w:pPr>
  </w:style>
  <w:style w:type="paragraph" w:styleId="832">
    <w:name w:val="toc 4"/>
    <w:basedOn w:val="840"/>
    <w:next w:val="840"/>
    <w:uiPriority w:val="39"/>
    <w:unhideWhenUsed/>
    <w:pPr>
      <w:spacing w:after="57"/>
      <w:ind w:left="850" w:right="0" w:firstLine="0"/>
    </w:pPr>
  </w:style>
  <w:style w:type="paragraph" w:styleId="833">
    <w:name w:val="toc 5"/>
    <w:basedOn w:val="840"/>
    <w:next w:val="840"/>
    <w:uiPriority w:val="39"/>
    <w:unhideWhenUsed/>
    <w:pPr>
      <w:spacing w:after="57"/>
      <w:ind w:left="1134" w:right="0" w:firstLine="0"/>
    </w:pPr>
  </w:style>
  <w:style w:type="paragraph" w:styleId="834">
    <w:name w:val="toc 6"/>
    <w:basedOn w:val="840"/>
    <w:next w:val="840"/>
    <w:uiPriority w:val="39"/>
    <w:unhideWhenUsed/>
    <w:pPr>
      <w:spacing w:after="57"/>
      <w:ind w:left="1417" w:right="0" w:firstLine="0"/>
    </w:pPr>
  </w:style>
  <w:style w:type="paragraph" w:styleId="835">
    <w:name w:val="toc 7"/>
    <w:basedOn w:val="840"/>
    <w:next w:val="840"/>
    <w:uiPriority w:val="39"/>
    <w:unhideWhenUsed/>
    <w:pPr>
      <w:spacing w:after="57"/>
      <w:ind w:left="1701" w:right="0" w:firstLine="0"/>
    </w:pPr>
  </w:style>
  <w:style w:type="paragraph" w:styleId="836">
    <w:name w:val="toc 8"/>
    <w:basedOn w:val="840"/>
    <w:next w:val="840"/>
    <w:uiPriority w:val="39"/>
    <w:unhideWhenUsed/>
    <w:pPr>
      <w:spacing w:after="57"/>
      <w:ind w:left="1984" w:right="0" w:firstLine="0"/>
    </w:pPr>
  </w:style>
  <w:style w:type="paragraph" w:styleId="837">
    <w:name w:val="toc 9"/>
    <w:basedOn w:val="840"/>
    <w:next w:val="840"/>
    <w:uiPriority w:val="39"/>
    <w:unhideWhenUsed/>
    <w:pPr>
      <w:spacing w:after="57"/>
      <w:ind w:left="2268" w:right="0" w:firstLine="0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uiPriority w:val="0"/>
    <w:qFormat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841">
    <w:name w:val="Heading 1"/>
    <w:basedOn w:val="840"/>
    <w:next w:val="840"/>
    <w:link w:val="844"/>
    <w:uiPriority w:val="9"/>
    <w:qFormat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44" w:customStyle="1">
    <w:name w:val="Heading 1 Char"/>
    <w:basedOn w:val="842"/>
    <w:link w:val="841"/>
    <w:uiPriority w:val="9"/>
    <w:qFormat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numbering" w:styleId="84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revision>4</cp:revision>
  <dcterms:created xsi:type="dcterms:W3CDTF">2011-11-02T04:15:00Z</dcterms:created>
  <dcterms:modified xsi:type="dcterms:W3CDTF">2024-06-28T11:48:24Z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77F0A01E139B463CAC193F5C5279DD2A_13</vt:lpwstr>
  </property>
</Properties>
</file>